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9D" w:rsidRPr="00BB52B2" w:rsidRDefault="00BB52B2" w:rsidP="00BB52B2">
      <w:pPr>
        <w:autoSpaceDE w:val="0"/>
        <w:autoSpaceDN w:val="0"/>
        <w:adjustRightInd w:val="0"/>
        <w:spacing w:line="560" w:lineRule="exact"/>
        <w:jc w:val="left"/>
        <w:rPr>
          <w:rStyle w:val="2Char"/>
          <w:rFonts w:ascii="仿宋" w:eastAsia="仿宋" w:hAnsi="仿宋"/>
          <w:sz w:val="28"/>
        </w:rPr>
      </w:pPr>
      <w:bookmarkStart w:id="0" w:name="_Toc36192328"/>
      <w:bookmarkStart w:id="1" w:name="_Toc36192224"/>
      <w:bookmarkStart w:id="2" w:name="_Toc36192454"/>
      <w:bookmarkStart w:id="3" w:name="_Toc36191578"/>
      <w:r>
        <w:rPr>
          <w:rFonts w:ascii="仿宋" w:eastAsia="仿宋" w:hAnsi="仿宋" w:hint="eastAsia"/>
          <w:sz w:val="28"/>
          <w:szCs w:val="32"/>
        </w:rPr>
        <w:t xml:space="preserve">    </w:t>
      </w:r>
      <w:r w:rsidR="00AA56FE" w:rsidRPr="00BB52B2">
        <w:rPr>
          <w:rStyle w:val="2Char"/>
          <w:rFonts w:ascii="仿宋" w:eastAsia="仿宋" w:hAnsi="仿宋" w:hint="eastAsia"/>
          <w:sz w:val="28"/>
        </w:rPr>
        <w:t>一、项目简介</w:t>
      </w:r>
      <w:bookmarkEnd w:id="0"/>
      <w:bookmarkEnd w:id="1"/>
      <w:bookmarkEnd w:id="2"/>
      <w:bookmarkEnd w:id="3"/>
    </w:p>
    <w:p w:rsidR="00C4799D" w:rsidRPr="00BB52B2" w:rsidRDefault="00AA56FE" w:rsidP="00BB52B2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/>
          <w:sz w:val="28"/>
          <w:szCs w:val="32"/>
        </w:rPr>
      </w:pPr>
      <w:r w:rsidRPr="00BB52B2">
        <w:rPr>
          <w:rFonts w:ascii="仿宋" w:eastAsia="仿宋" w:hAnsi="仿宋" w:cs="仿宋_GB2312" w:hint="eastAsia"/>
          <w:sz w:val="28"/>
          <w:szCs w:val="32"/>
        </w:rPr>
        <w:t>按照川</w:t>
      </w:r>
      <w:proofErr w:type="gramStart"/>
      <w:r w:rsidRPr="00BB52B2">
        <w:rPr>
          <w:rFonts w:ascii="仿宋" w:eastAsia="仿宋" w:hAnsi="仿宋" w:cs="仿宋_GB2312" w:hint="eastAsia"/>
          <w:sz w:val="28"/>
          <w:szCs w:val="32"/>
        </w:rPr>
        <w:t>卫监总发</w:t>
      </w:r>
      <w:proofErr w:type="gramEnd"/>
      <w:r w:rsidRPr="00BB52B2">
        <w:rPr>
          <w:rFonts w:ascii="仿宋" w:eastAsia="仿宋" w:hAnsi="仿宋" w:cs="仿宋_GB2312" w:hint="eastAsia"/>
          <w:color w:val="030303"/>
          <w:sz w:val="28"/>
          <w:szCs w:val="32"/>
        </w:rPr>
        <w:t>【2019】28</w:t>
      </w:r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 xml:space="preserve"> </w:t>
      </w:r>
      <w:r w:rsidRPr="00BB52B2">
        <w:rPr>
          <w:rFonts w:ascii="仿宋" w:eastAsia="仿宋" w:hAnsi="仿宋" w:cs="仿宋_GB2312" w:hint="eastAsia"/>
          <w:color w:val="030303"/>
          <w:sz w:val="28"/>
          <w:szCs w:val="32"/>
        </w:rPr>
        <w:t>号文件要求，建立</w:t>
      </w:r>
      <w:proofErr w:type="gramStart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废在线监管系统。系统包括：监管平台、智能</w:t>
      </w:r>
      <w:proofErr w:type="gramStart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废收集车。智能</w:t>
      </w:r>
      <w:proofErr w:type="gramStart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废收集车需与省级平台数</w:t>
      </w:r>
      <w:r w:rsidRPr="00BB52B2">
        <w:rPr>
          <w:rFonts w:ascii="仿宋" w:eastAsia="仿宋" w:hAnsi="仿宋" w:cs="仿宋_GB2312" w:hint="eastAsia"/>
          <w:color w:val="030303"/>
          <w:sz w:val="28"/>
          <w:szCs w:val="32"/>
        </w:rPr>
        <w:t>据接口对接并按要求传送</w:t>
      </w:r>
      <w:proofErr w:type="gramStart"/>
      <w:r w:rsidRPr="00BB52B2">
        <w:rPr>
          <w:rFonts w:ascii="仿宋" w:eastAsia="仿宋" w:hAnsi="仿宋" w:cs="仿宋_GB2312" w:hint="eastAsia"/>
          <w:color w:val="030303"/>
          <w:sz w:val="28"/>
          <w:szCs w:val="32"/>
        </w:rPr>
        <w:t>医废数据</w:t>
      </w:r>
      <w:proofErr w:type="gramEnd"/>
      <w:r w:rsidRPr="00BB52B2">
        <w:rPr>
          <w:rFonts w:ascii="仿宋" w:eastAsia="仿宋" w:hAnsi="仿宋" w:cs="仿宋_GB2312" w:hint="eastAsia"/>
          <w:color w:val="030303"/>
          <w:sz w:val="28"/>
          <w:szCs w:val="32"/>
        </w:rPr>
        <w:t>信息。</w:t>
      </w:r>
    </w:p>
    <w:p w:rsidR="00C4799D" w:rsidRPr="00BB52B2" w:rsidRDefault="00AA56FE" w:rsidP="00BB52B2">
      <w:pPr>
        <w:pStyle w:val="2"/>
        <w:spacing w:before="0" w:after="0" w:line="560" w:lineRule="exact"/>
        <w:ind w:firstLineChars="200" w:firstLine="562"/>
        <w:rPr>
          <w:rFonts w:ascii="仿宋" w:eastAsia="仿宋" w:hAnsi="仿宋"/>
          <w:sz w:val="28"/>
        </w:rPr>
      </w:pPr>
      <w:bookmarkStart w:id="4" w:name="_Toc36191579"/>
      <w:bookmarkStart w:id="5" w:name="_Toc36192225"/>
      <w:bookmarkStart w:id="6" w:name="_Toc36192455"/>
      <w:bookmarkStart w:id="7" w:name="_Toc36192329"/>
      <w:r w:rsidRPr="00BB52B2">
        <w:rPr>
          <w:rFonts w:ascii="仿宋" w:eastAsia="仿宋" w:hAnsi="仿宋" w:hint="eastAsia"/>
          <w:sz w:val="28"/>
        </w:rPr>
        <w:t>二、软件项目功能</w:t>
      </w:r>
      <w:bookmarkEnd w:id="4"/>
      <w:bookmarkEnd w:id="5"/>
      <w:bookmarkEnd w:id="6"/>
      <w:bookmarkEnd w:id="7"/>
      <w:r w:rsidRPr="00BB52B2">
        <w:rPr>
          <w:rFonts w:ascii="仿宋" w:eastAsia="仿宋" w:hAnsi="仿宋" w:hint="eastAsia"/>
          <w:sz w:val="28"/>
        </w:rPr>
        <w:t>需求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color w:val="030303"/>
          <w:spacing w:val="-2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1.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废智能收集系统：接收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废信息，自动生成数据，可追溯单包医废的医院、科室、交接人、收集人、时间信息，可统计、导出与打印</w:t>
      </w:r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各个科室或者整个医疗废物信息，统计、分析可以图表的方式显示科室或者整个医院医费信息。</w:t>
      </w:r>
      <w:proofErr w:type="gramStart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医废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信息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至少包含医疗废物的种类、重量、科室名称、收集人员、交接人员、交接时间、入库时间、出库时间等信息，以及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废处置中心的接运信息、运输人员信息、运输车辆信息。科室交接人员和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医废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收集人员交接时使用人脸识别或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二维码扫描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等方式保证实名交接。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2.软件通过4G通信系统，将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废收集、入库、出库等数据实时传送到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废监管平台，自动生成日报表、月报表、年度报表、转移联单，提供统计分析所需的原始数据。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3.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废后台预警功能：至少包含科室当日未收产、交接无双方交接签字、破损或泄漏、遗失、超时入库、超时出库、收集与入库重量不一致等预警。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4.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废后台监管功能：各级监管部门、医疗卫生机构、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废处置中心实现数据互通互享，可进行历史查询、统计分析、后台管理等操作，通过在线数据分析规范废物收运环节的监督管理，监督各个必要的环节。后台可根据时间、科室、类别、重量等参数对每条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废的明细进行管理并查询和操作。支持查看详细的收运记录列表，可查看每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lastRenderedPageBreak/>
        <w:t>一条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废的状态、时间点和相应双签名信息，医院端PC页面额外支持显示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医废电子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二维码（与设备打印机打印的纸质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二维码相同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），支持创建、删改科室信息，亦可在科室内创建、删改科室二维码。</w:t>
      </w:r>
    </w:p>
    <w:p w:rsidR="00C4799D" w:rsidRPr="00BB52B2" w:rsidRDefault="00AA56FE" w:rsidP="00BB52B2">
      <w:pPr>
        <w:spacing w:line="560" w:lineRule="exact"/>
        <w:ind w:firstLineChars="200" w:firstLine="552"/>
        <w:rPr>
          <w:rFonts w:ascii="仿宋" w:eastAsia="仿宋" w:hAnsi="仿宋" w:cs="仿宋_GB2312"/>
          <w:color w:val="030303"/>
          <w:spacing w:val="-2"/>
          <w:sz w:val="28"/>
          <w:szCs w:val="32"/>
        </w:rPr>
      </w:pPr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5.手机APP或者小程序：通过智能手机端，随时随地对医疗废物收集</w:t>
      </w:r>
      <w:proofErr w:type="gramStart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处情况</w:t>
      </w:r>
      <w:proofErr w:type="gramEnd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监管。监督管理功能：监测点管理、科室管理、角色管理（权限管理，包括监管部门、科室内医疗废物管理负责人、医疗</w:t>
      </w:r>
      <w:proofErr w:type="gramStart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废物收员等</w:t>
      </w:r>
      <w:proofErr w:type="gramEnd"/>
      <w:r w:rsidRPr="00BB52B2">
        <w:rPr>
          <w:rFonts w:ascii="仿宋" w:eastAsia="仿宋" w:hAnsi="仿宋" w:cs="仿宋_GB2312" w:hint="eastAsia"/>
          <w:color w:val="030303"/>
          <w:spacing w:val="-2"/>
          <w:sz w:val="28"/>
          <w:szCs w:val="32"/>
        </w:rPr>
        <w:t>均可自定和配置不同权限）、医疗废物管理、报警管理、智能医疗废物收集车管理、设备故障诊断管理、系统设置等。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sz w:val="28"/>
          <w:szCs w:val="32"/>
        </w:rPr>
        <w:t>6</w:t>
      </w:r>
      <w:bookmarkStart w:id="8" w:name="_Toc322620969"/>
      <w:bookmarkStart w:id="9" w:name="_Toc333766053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.系统满足省市监管现行要求，如后期发生变化，须无条件升级满足要求，可实现与四川省卫生监督综合在线监测软件平台进行对接，并可同时接入市级监管平台，至少可满足下表数据要求：</w:t>
      </w:r>
    </w:p>
    <w:bookmarkEnd w:id="8"/>
    <w:bookmarkEnd w:id="9"/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7.APP或者小程序软件需求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7.1收运流程：收运人员输入账号密码登陆系统</w:t>
      </w:r>
      <w:r w:rsidRPr="00BB52B2">
        <w:rPr>
          <w:rFonts w:ascii="仿宋" w:eastAsia="仿宋" w:hAnsi="仿宋" w:cs="仿宋_GB2312"/>
          <w:kern w:val="0"/>
          <w:sz w:val="28"/>
          <w:szCs w:val="32"/>
        </w:rPr>
        <w:t>→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连接电子秤和打印机、扫描枪（首次需配对连接，后期自动连接）</w:t>
      </w:r>
      <w:r w:rsidRPr="00BB52B2">
        <w:rPr>
          <w:rFonts w:ascii="仿宋" w:eastAsia="仿宋" w:hAnsi="仿宋" w:cs="仿宋_GB2312"/>
          <w:kern w:val="0"/>
          <w:sz w:val="28"/>
          <w:szCs w:val="32"/>
        </w:rPr>
        <w:t>→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扫描科室二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维码</w:t>
      </w:r>
      <w:r w:rsidRPr="00BB52B2">
        <w:rPr>
          <w:rFonts w:ascii="仿宋" w:eastAsia="仿宋" w:hAnsi="仿宋" w:cs="仿宋_GB2312"/>
          <w:kern w:val="0"/>
          <w:sz w:val="28"/>
          <w:szCs w:val="32"/>
        </w:rPr>
        <w:t>→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废称重</w:t>
      </w:r>
      <w:r w:rsidRPr="00BB52B2">
        <w:rPr>
          <w:rFonts w:ascii="仿宋" w:eastAsia="仿宋" w:hAnsi="仿宋" w:cs="仿宋_GB2312"/>
          <w:kern w:val="0"/>
          <w:sz w:val="28"/>
          <w:szCs w:val="32"/>
        </w:rPr>
        <w:t>→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选择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废类型（或自动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通过扫码确认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类型，绑定扫描科室码）</w:t>
      </w:r>
      <w:r w:rsidRPr="00BB52B2">
        <w:rPr>
          <w:rFonts w:ascii="仿宋" w:eastAsia="仿宋" w:hAnsi="仿宋" w:cs="仿宋_GB2312"/>
          <w:kern w:val="0"/>
          <w:sz w:val="28"/>
          <w:szCs w:val="32"/>
        </w:rPr>
        <w:t>→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打印、粘贴标签</w:t>
      </w:r>
      <w:r w:rsidRPr="00BB52B2">
        <w:rPr>
          <w:rFonts w:ascii="仿宋" w:eastAsia="仿宋" w:hAnsi="仿宋" w:cs="仿宋_GB2312"/>
          <w:kern w:val="0"/>
          <w:sz w:val="28"/>
          <w:szCs w:val="32"/>
        </w:rPr>
        <w:t>→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医疗废物装车</w:t>
      </w:r>
      <w:r w:rsidRPr="00BB52B2">
        <w:rPr>
          <w:rFonts w:ascii="仿宋" w:eastAsia="仿宋" w:hAnsi="仿宋" w:cs="仿宋_GB2312"/>
          <w:kern w:val="0"/>
          <w:sz w:val="28"/>
          <w:szCs w:val="32"/>
        </w:rPr>
        <w:t>→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交接签字</w:t>
      </w:r>
      <w:r w:rsidRPr="00BB52B2">
        <w:rPr>
          <w:rFonts w:ascii="仿宋" w:eastAsia="仿宋" w:hAnsi="仿宋" w:cs="仿宋_GB2312"/>
          <w:kern w:val="0"/>
          <w:sz w:val="28"/>
          <w:szCs w:val="32"/>
        </w:rPr>
        <w:t>→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继续收运或入库（若当前科室一次未收完，可再次收集，一个科室一天可收集多次。）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7.2暂存打印列表：APP内暂存栏/条目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确认栏可进行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追溯并逐条显示，可对当前收运的医疗废物进行确认，防止出现重复收集、重量不符等问题。暂存打印列表逐条记录收运的时间、科室、人员交接等信息，进行暂存，防止网络问题上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传失败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或者数据丢失。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7.3出入库管理：系统可实现整车入库、批量入库等操作。若标签遗失，可针对单一条目的医疗废物收运进行补打标签。出（入）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库</w:t>
      </w: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lastRenderedPageBreak/>
        <w:t>登记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包括出（入）库时间、种类、重量、产生时间、交接人员（双方）信息，自动生成危险废物交接转移单等交接数据，数据保存3年以上；利用数据采集终端设备收集和管理暂存点/转运站的医疗废物包装破损、数据不符合等的医疗废物处理记录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7.4设置及更新：系统设置内可进行硬件设备的管理和连接。可查看关于APP内容，当有下一版本更新时，可主动进行检测更新。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7.5入库清单：入库时提供入库清单，方便进行核对。清单包括收运科室、收运时间、</w:t>
      </w:r>
      <w:proofErr w:type="gramStart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医废类型</w:t>
      </w:r>
      <w:proofErr w:type="gramEnd"/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等基本信息，入库时逐一核对，以免遗漏。</w:t>
      </w:r>
    </w:p>
    <w:p w:rsidR="00C4799D" w:rsidRPr="00BB52B2" w:rsidRDefault="00AA56FE" w:rsidP="00BB52B2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>7.6消息通知：提供消息接收及反馈的功能，可接受PC端的消息通知，亦可通过消息通知进行发送内容通知到PC端进行反馈问题。</w:t>
      </w:r>
    </w:p>
    <w:p w:rsidR="00C4799D" w:rsidRDefault="00AA56FE" w:rsidP="00BB52B2">
      <w:pPr>
        <w:spacing w:line="560" w:lineRule="exact"/>
        <w:ind w:firstLineChars="100" w:firstLine="280"/>
        <w:rPr>
          <w:rFonts w:ascii="仿宋" w:eastAsia="仿宋" w:hAnsi="仿宋" w:cs="仿宋_GB2312" w:hint="eastAsia"/>
          <w:kern w:val="0"/>
          <w:sz w:val="28"/>
          <w:szCs w:val="32"/>
        </w:rPr>
      </w:pPr>
      <w:r w:rsidRPr="00BB52B2">
        <w:rPr>
          <w:rFonts w:ascii="仿宋" w:eastAsia="仿宋" w:hAnsi="仿宋" w:cs="仿宋_GB2312" w:hint="eastAsia"/>
          <w:kern w:val="0"/>
          <w:sz w:val="28"/>
          <w:szCs w:val="32"/>
        </w:rPr>
        <w:t xml:space="preserve"> 7.7硬件控制：针对出入秤、电池电量显示等功能进行针对性优化，可提供对应的功能进行操作，无须物理按键，直接通过App进行控制入秤、出秤等操作。</w:t>
      </w:r>
    </w:p>
    <w:p w:rsidR="00C74100" w:rsidRPr="00C74100" w:rsidRDefault="00297FF6" w:rsidP="00C74100">
      <w:pPr>
        <w:pStyle w:val="2"/>
        <w:spacing w:before="0" w:after="0" w:line="560" w:lineRule="exact"/>
        <w:ind w:firstLineChars="200" w:firstLine="562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三</w:t>
      </w:r>
      <w:r w:rsidRPr="00BB52B2">
        <w:rPr>
          <w:rFonts w:ascii="仿宋" w:eastAsia="仿宋" w:hAnsi="仿宋" w:hint="eastAsia"/>
          <w:sz w:val="28"/>
        </w:rPr>
        <w:t>、软件项目功能需求</w:t>
      </w:r>
    </w:p>
    <w:tbl>
      <w:tblPr>
        <w:tblpPr w:leftFromText="180" w:rightFromText="180" w:vertAnchor="text" w:horzAnchor="page" w:tblpX="1482" w:tblpY="456"/>
        <w:tblOverlap w:val="never"/>
        <w:tblW w:w="9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1718"/>
        <w:gridCol w:w="559"/>
        <w:gridCol w:w="729"/>
        <w:gridCol w:w="897"/>
        <w:gridCol w:w="1088"/>
        <w:gridCol w:w="3494"/>
      </w:tblGrid>
      <w:tr w:rsidR="00C74100" w:rsidRPr="00C74100" w:rsidTr="00AF603B">
        <w:trPr>
          <w:trHeight w:hRule="exact" w:val="612"/>
        </w:trPr>
        <w:tc>
          <w:tcPr>
            <w:tcW w:w="646" w:type="dxa"/>
            <w:shd w:val="clear" w:color="auto" w:fill="D0CECE" w:themeFill="background2" w:themeFillShade="E6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/>
                <w:sz w:val="28"/>
                <w:szCs w:val="28"/>
              </w:rPr>
            </w:pPr>
            <w:bookmarkStart w:id="10" w:name="_Toc36191601"/>
            <w:bookmarkStart w:id="11" w:name="_Toc36192017"/>
            <w:bookmarkStart w:id="12" w:name="_Toc36192237"/>
            <w:r w:rsidRPr="00C7410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  <w:bookmarkEnd w:id="10"/>
            <w:bookmarkEnd w:id="11"/>
            <w:bookmarkEnd w:id="12"/>
          </w:p>
        </w:tc>
        <w:tc>
          <w:tcPr>
            <w:tcW w:w="1718" w:type="dxa"/>
            <w:shd w:val="clear" w:color="auto" w:fill="D0CECE" w:themeFill="background2" w:themeFillShade="E6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/>
                <w:sz w:val="28"/>
                <w:szCs w:val="28"/>
              </w:rPr>
            </w:pPr>
            <w:bookmarkStart w:id="13" w:name="_Toc36191602"/>
            <w:bookmarkStart w:id="14" w:name="_Toc36192018"/>
            <w:bookmarkStart w:id="15" w:name="_Toc36192238"/>
            <w:r w:rsidRPr="00C74100">
              <w:rPr>
                <w:rFonts w:ascii="仿宋" w:eastAsia="仿宋" w:hAnsi="仿宋" w:hint="eastAsia"/>
                <w:sz w:val="28"/>
                <w:szCs w:val="28"/>
              </w:rPr>
              <w:t>产品名称</w:t>
            </w:r>
            <w:bookmarkEnd w:id="13"/>
            <w:bookmarkEnd w:id="14"/>
            <w:bookmarkEnd w:id="15"/>
          </w:p>
        </w:tc>
        <w:tc>
          <w:tcPr>
            <w:tcW w:w="559" w:type="dxa"/>
            <w:shd w:val="clear" w:color="auto" w:fill="D0CECE" w:themeFill="background2" w:themeFillShade="E6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/>
                <w:sz w:val="28"/>
                <w:szCs w:val="28"/>
              </w:rPr>
            </w:pPr>
            <w:bookmarkStart w:id="16" w:name="_Toc36191603"/>
            <w:bookmarkStart w:id="17" w:name="_Toc36192019"/>
            <w:bookmarkStart w:id="18" w:name="_Toc36192239"/>
            <w:r w:rsidRPr="00C74100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bookmarkEnd w:id="16"/>
            <w:bookmarkEnd w:id="17"/>
            <w:bookmarkEnd w:id="18"/>
          </w:p>
        </w:tc>
        <w:tc>
          <w:tcPr>
            <w:tcW w:w="729" w:type="dxa"/>
            <w:shd w:val="clear" w:color="auto" w:fill="D0CECE" w:themeFill="background2" w:themeFillShade="E6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/>
                <w:sz w:val="28"/>
                <w:szCs w:val="28"/>
              </w:rPr>
            </w:pPr>
            <w:bookmarkStart w:id="19" w:name="_Toc36191604"/>
            <w:bookmarkStart w:id="20" w:name="_Toc36192020"/>
            <w:bookmarkStart w:id="21" w:name="_Toc36192240"/>
            <w:r w:rsidRPr="00C74100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  <w:bookmarkEnd w:id="19"/>
            <w:bookmarkEnd w:id="20"/>
            <w:bookmarkEnd w:id="21"/>
          </w:p>
        </w:tc>
        <w:tc>
          <w:tcPr>
            <w:tcW w:w="897" w:type="dxa"/>
            <w:shd w:val="clear" w:color="auto" w:fill="D0CECE" w:themeFill="background2" w:themeFillShade="E6"/>
            <w:vAlign w:val="center"/>
          </w:tcPr>
          <w:p w:rsidR="00C74100" w:rsidRPr="00C74100" w:rsidRDefault="00C74100" w:rsidP="00DC0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2" w:name="_Toc36191605"/>
            <w:bookmarkStart w:id="23" w:name="_Toc36192021"/>
            <w:bookmarkStart w:id="24" w:name="_Toc36192241"/>
            <w:r w:rsidRPr="00C74100">
              <w:rPr>
                <w:rFonts w:ascii="仿宋" w:eastAsia="仿宋" w:hAnsi="仿宋" w:hint="eastAsia"/>
                <w:sz w:val="28"/>
                <w:szCs w:val="28"/>
              </w:rPr>
              <w:t>单价（元）</w:t>
            </w:r>
            <w:bookmarkEnd w:id="22"/>
            <w:bookmarkEnd w:id="23"/>
            <w:bookmarkEnd w:id="24"/>
          </w:p>
        </w:tc>
        <w:tc>
          <w:tcPr>
            <w:tcW w:w="1088" w:type="dxa"/>
            <w:shd w:val="clear" w:color="auto" w:fill="D0CECE" w:themeFill="background2" w:themeFillShade="E6"/>
            <w:vAlign w:val="center"/>
          </w:tcPr>
          <w:p w:rsidR="00C74100" w:rsidRPr="00C74100" w:rsidRDefault="00C74100" w:rsidP="00DC0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4100">
              <w:rPr>
                <w:rFonts w:ascii="仿宋" w:eastAsia="仿宋" w:hAnsi="仿宋" w:hint="eastAsia"/>
                <w:sz w:val="28"/>
                <w:szCs w:val="28"/>
              </w:rPr>
              <w:t>总价</w:t>
            </w:r>
            <w:proofErr w:type="gramStart"/>
            <w:r w:rsidRPr="00C74100">
              <w:rPr>
                <w:rFonts w:ascii="仿宋" w:eastAsia="仿宋" w:hAnsi="仿宋" w:hint="eastAsia"/>
                <w:sz w:val="28"/>
                <w:szCs w:val="28"/>
              </w:rPr>
              <w:t>价</w:t>
            </w:r>
            <w:proofErr w:type="gramEnd"/>
            <w:r w:rsidRPr="00C74100"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3494" w:type="dxa"/>
            <w:shd w:val="clear" w:color="auto" w:fill="D0CECE" w:themeFill="background2" w:themeFillShade="E6"/>
            <w:vAlign w:val="center"/>
          </w:tcPr>
          <w:p w:rsidR="00C74100" w:rsidRPr="00C74100" w:rsidRDefault="00C74100" w:rsidP="00DC0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5" w:name="_Toc36191607"/>
            <w:bookmarkStart w:id="26" w:name="_Toc36192023"/>
            <w:bookmarkStart w:id="27" w:name="_Toc36192243"/>
            <w:r w:rsidRPr="00C74100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  <w:bookmarkEnd w:id="25"/>
            <w:bookmarkEnd w:id="26"/>
            <w:bookmarkEnd w:id="27"/>
          </w:p>
        </w:tc>
      </w:tr>
      <w:tr w:rsidR="00C74100" w:rsidRPr="00C74100" w:rsidTr="00AF603B">
        <w:trPr>
          <w:trHeight w:val="1218"/>
        </w:trPr>
        <w:tc>
          <w:tcPr>
            <w:tcW w:w="646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bookmarkStart w:id="28" w:name="_Toc36191608"/>
            <w:bookmarkStart w:id="29" w:name="_Toc36192024"/>
            <w:bookmarkStart w:id="30" w:name="_Toc36192244"/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bookmarkEnd w:id="28"/>
            <w:bookmarkEnd w:id="29"/>
            <w:bookmarkEnd w:id="30"/>
          </w:p>
        </w:tc>
        <w:tc>
          <w:tcPr>
            <w:tcW w:w="1718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31" w:name="_Toc36191609"/>
            <w:bookmarkStart w:id="32" w:name="_Toc36192025"/>
            <w:bookmarkStart w:id="33" w:name="_Toc36192245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医疗废物收集车</w:t>
            </w:r>
            <w:bookmarkEnd w:id="31"/>
            <w:bookmarkEnd w:id="32"/>
            <w:bookmarkEnd w:id="33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（手持</w:t>
            </w:r>
            <w:proofErr w:type="gramStart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扫码枪</w:t>
            </w:r>
            <w:proofErr w:type="gramEnd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）</w:t>
            </w:r>
          </w:p>
        </w:tc>
        <w:tc>
          <w:tcPr>
            <w:tcW w:w="559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bookmarkStart w:id="34" w:name="_Toc36191610"/>
            <w:bookmarkStart w:id="35" w:name="_Toc36192026"/>
            <w:bookmarkStart w:id="36" w:name="_Toc36192246"/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台</w:t>
            </w:r>
            <w:bookmarkEnd w:id="34"/>
            <w:bookmarkEnd w:id="35"/>
            <w:bookmarkEnd w:id="36"/>
          </w:p>
        </w:tc>
        <w:tc>
          <w:tcPr>
            <w:tcW w:w="729" w:type="dxa"/>
            <w:vAlign w:val="center"/>
          </w:tcPr>
          <w:p w:rsidR="00C74100" w:rsidRPr="00C74100" w:rsidRDefault="00C74100" w:rsidP="00AF603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bookmarkStart w:id="37" w:name="_Toc36191611"/>
            <w:bookmarkStart w:id="38" w:name="_Toc36192027"/>
            <w:bookmarkStart w:id="39" w:name="_Toc36192247"/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  <w:bookmarkEnd w:id="37"/>
            <w:bookmarkEnd w:id="38"/>
            <w:bookmarkEnd w:id="39"/>
          </w:p>
        </w:tc>
        <w:tc>
          <w:tcPr>
            <w:tcW w:w="897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</w:p>
        </w:tc>
        <w:tc>
          <w:tcPr>
            <w:tcW w:w="3494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2年质保，质保期内免费维护</w:t>
            </w:r>
          </w:p>
        </w:tc>
      </w:tr>
      <w:tr w:rsidR="00C74100" w:rsidRPr="00C74100" w:rsidTr="00AF603B">
        <w:trPr>
          <w:trHeight w:val="761"/>
        </w:trPr>
        <w:tc>
          <w:tcPr>
            <w:tcW w:w="646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bookmarkStart w:id="40" w:name="_Toc36191614"/>
            <w:bookmarkStart w:id="41" w:name="_Toc36192030"/>
            <w:bookmarkStart w:id="42" w:name="_Toc36192250"/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  <w:bookmarkEnd w:id="40"/>
            <w:bookmarkEnd w:id="41"/>
            <w:bookmarkEnd w:id="42"/>
          </w:p>
        </w:tc>
        <w:tc>
          <w:tcPr>
            <w:tcW w:w="1718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43" w:name="_Toc36191615"/>
            <w:bookmarkStart w:id="44" w:name="_Toc36192031"/>
            <w:bookmarkStart w:id="45" w:name="_Toc36192251"/>
            <w:proofErr w:type="gramStart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医</w:t>
            </w:r>
            <w:proofErr w:type="gramEnd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废暂存点</w:t>
            </w:r>
            <w:bookmarkEnd w:id="43"/>
            <w:bookmarkEnd w:id="44"/>
            <w:bookmarkEnd w:id="45"/>
          </w:p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46" w:name="_Toc36191616"/>
            <w:bookmarkStart w:id="47" w:name="_Toc36192032"/>
            <w:bookmarkStart w:id="48" w:name="_Toc36192252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视频监控</w:t>
            </w:r>
            <w:bookmarkEnd w:id="46"/>
            <w:bookmarkEnd w:id="47"/>
            <w:bookmarkEnd w:id="48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系统</w:t>
            </w:r>
          </w:p>
        </w:tc>
        <w:tc>
          <w:tcPr>
            <w:tcW w:w="559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49" w:name="_Toc36191617"/>
            <w:bookmarkStart w:id="50" w:name="_Toc36192033"/>
            <w:bookmarkStart w:id="51" w:name="_Toc36192253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套</w:t>
            </w:r>
            <w:bookmarkEnd w:id="49"/>
            <w:bookmarkEnd w:id="50"/>
            <w:bookmarkEnd w:id="51"/>
          </w:p>
        </w:tc>
        <w:tc>
          <w:tcPr>
            <w:tcW w:w="729" w:type="dxa"/>
            <w:vAlign w:val="center"/>
          </w:tcPr>
          <w:p w:rsidR="00C74100" w:rsidRPr="00AF603B" w:rsidRDefault="00C74100" w:rsidP="00AF603B">
            <w:pPr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52" w:name="_Toc36191618"/>
            <w:bookmarkStart w:id="53" w:name="_Toc36192034"/>
            <w:bookmarkStart w:id="54" w:name="_Toc36192254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1</w:t>
            </w:r>
            <w:bookmarkEnd w:id="52"/>
            <w:bookmarkEnd w:id="53"/>
            <w:bookmarkEnd w:id="54"/>
          </w:p>
        </w:tc>
        <w:tc>
          <w:tcPr>
            <w:tcW w:w="897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</w:p>
        </w:tc>
        <w:tc>
          <w:tcPr>
            <w:tcW w:w="3494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r w:rsidRPr="00AF603B">
              <w:rPr>
                <w:rFonts w:ascii="仿宋" w:eastAsia="仿宋" w:hAnsi="仿宋" w:cs="仿宋_GB2312"/>
                <w:kern w:val="0"/>
                <w:sz w:val="28"/>
                <w:szCs w:val="32"/>
              </w:rPr>
              <w:t>7</w:t>
            </w:r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*24小时全天录像，内存满后自动清除最早视频内存，储存时间30天。</w:t>
            </w:r>
          </w:p>
        </w:tc>
      </w:tr>
      <w:tr w:rsidR="00C74100" w:rsidRPr="00C74100" w:rsidTr="00AF603B">
        <w:trPr>
          <w:trHeight w:val="642"/>
        </w:trPr>
        <w:tc>
          <w:tcPr>
            <w:tcW w:w="646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bookmarkStart w:id="55" w:name="_Toc36191621"/>
            <w:bookmarkStart w:id="56" w:name="_Toc36192037"/>
            <w:bookmarkStart w:id="57" w:name="_Toc36192257"/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  <w:bookmarkEnd w:id="55"/>
            <w:bookmarkEnd w:id="56"/>
            <w:bookmarkEnd w:id="57"/>
          </w:p>
        </w:tc>
        <w:tc>
          <w:tcPr>
            <w:tcW w:w="1718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58" w:name="_Toc36191622"/>
            <w:bookmarkStart w:id="59" w:name="_Toc36192038"/>
            <w:bookmarkStart w:id="60" w:name="_Toc36192258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医疗废物</w:t>
            </w:r>
            <w:bookmarkEnd w:id="58"/>
            <w:bookmarkEnd w:id="59"/>
            <w:bookmarkEnd w:id="60"/>
          </w:p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61" w:name="_Toc36191623"/>
            <w:bookmarkStart w:id="62" w:name="_Toc36192039"/>
            <w:bookmarkStart w:id="63" w:name="_Toc36192259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监管系统</w:t>
            </w:r>
            <w:bookmarkEnd w:id="61"/>
            <w:bookmarkEnd w:id="62"/>
            <w:bookmarkEnd w:id="63"/>
          </w:p>
        </w:tc>
        <w:tc>
          <w:tcPr>
            <w:tcW w:w="559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64" w:name="_Toc36191624"/>
            <w:bookmarkStart w:id="65" w:name="_Toc36192040"/>
            <w:bookmarkStart w:id="66" w:name="_Toc36192260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套</w:t>
            </w:r>
            <w:bookmarkEnd w:id="64"/>
            <w:bookmarkEnd w:id="65"/>
            <w:bookmarkEnd w:id="66"/>
          </w:p>
        </w:tc>
        <w:tc>
          <w:tcPr>
            <w:tcW w:w="729" w:type="dxa"/>
            <w:vAlign w:val="center"/>
          </w:tcPr>
          <w:p w:rsidR="00C74100" w:rsidRPr="00AF603B" w:rsidRDefault="00C74100" w:rsidP="00AF603B">
            <w:pPr>
              <w:spacing w:line="3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67" w:name="_Toc36191625"/>
            <w:bookmarkStart w:id="68" w:name="_Toc36192041"/>
            <w:bookmarkStart w:id="69" w:name="_Toc36192261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1</w:t>
            </w:r>
            <w:bookmarkEnd w:id="67"/>
            <w:bookmarkEnd w:id="68"/>
            <w:bookmarkEnd w:id="69"/>
          </w:p>
        </w:tc>
        <w:tc>
          <w:tcPr>
            <w:tcW w:w="897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</w:p>
        </w:tc>
        <w:tc>
          <w:tcPr>
            <w:tcW w:w="3494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70" w:name="_Toc36191628"/>
            <w:bookmarkStart w:id="71" w:name="_Toc36192044"/>
            <w:bookmarkStart w:id="72" w:name="_Toc36192264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含培训、实施、2年维护</w:t>
            </w:r>
            <w:bookmarkEnd w:id="70"/>
            <w:bookmarkEnd w:id="71"/>
            <w:bookmarkEnd w:id="72"/>
          </w:p>
        </w:tc>
      </w:tr>
      <w:tr w:rsidR="00C74100" w:rsidRPr="00C74100" w:rsidTr="00AF603B">
        <w:trPr>
          <w:trHeight w:val="478"/>
        </w:trPr>
        <w:tc>
          <w:tcPr>
            <w:tcW w:w="646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bookmarkStart w:id="73" w:name="_Toc36191629"/>
            <w:bookmarkStart w:id="74" w:name="_Toc36192045"/>
            <w:bookmarkStart w:id="75" w:name="_Toc36192265"/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  <w:bookmarkEnd w:id="73"/>
            <w:bookmarkEnd w:id="74"/>
            <w:bookmarkEnd w:id="75"/>
          </w:p>
        </w:tc>
        <w:tc>
          <w:tcPr>
            <w:tcW w:w="1718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热敏打印纸</w:t>
            </w:r>
          </w:p>
        </w:tc>
        <w:tc>
          <w:tcPr>
            <w:tcW w:w="559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卷</w:t>
            </w:r>
          </w:p>
        </w:tc>
        <w:tc>
          <w:tcPr>
            <w:tcW w:w="729" w:type="dxa"/>
            <w:vAlign w:val="center"/>
          </w:tcPr>
          <w:p w:rsidR="00C74100" w:rsidRPr="00C74100" w:rsidRDefault="00C74100" w:rsidP="00AF603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500</w:t>
            </w:r>
          </w:p>
        </w:tc>
        <w:tc>
          <w:tcPr>
            <w:tcW w:w="897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494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用于PDA打印条码，120张/卷，不超过25mm。</w:t>
            </w:r>
          </w:p>
        </w:tc>
      </w:tr>
      <w:tr w:rsidR="00C74100" w:rsidRPr="00C74100" w:rsidTr="00AF603B">
        <w:trPr>
          <w:trHeight w:val="519"/>
        </w:trPr>
        <w:tc>
          <w:tcPr>
            <w:tcW w:w="646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1718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4G流量卡</w:t>
            </w:r>
          </w:p>
        </w:tc>
        <w:tc>
          <w:tcPr>
            <w:tcW w:w="559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张</w:t>
            </w:r>
          </w:p>
        </w:tc>
        <w:tc>
          <w:tcPr>
            <w:tcW w:w="729" w:type="dxa"/>
            <w:vAlign w:val="center"/>
          </w:tcPr>
          <w:p w:rsidR="00C74100" w:rsidRPr="00C74100" w:rsidRDefault="00C74100" w:rsidP="00AF603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494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4G数据传输（赠送）</w:t>
            </w:r>
          </w:p>
        </w:tc>
      </w:tr>
      <w:tr w:rsidR="00C74100" w:rsidRPr="00C74100" w:rsidTr="00AF603B">
        <w:trPr>
          <w:trHeight w:val="761"/>
        </w:trPr>
        <w:tc>
          <w:tcPr>
            <w:tcW w:w="646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3006" w:type="dxa"/>
            <w:gridSpan w:val="3"/>
            <w:vAlign w:val="center"/>
          </w:tcPr>
          <w:p w:rsidR="00C74100" w:rsidRPr="00C74100" w:rsidRDefault="00C74100" w:rsidP="00C7410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系统维护费</w:t>
            </w:r>
          </w:p>
        </w:tc>
        <w:tc>
          <w:tcPr>
            <w:tcW w:w="897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/年</w:t>
            </w:r>
          </w:p>
        </w:tc>
        <w:tc>
          <w:tcPr>
            <w:tcW w:w="1088" w:type="dxa"/>
            <w:vAlign w:val="center"/>
          </w:tcPr>
          <w:p w:rsidR="00C74100" w:rsidRPr="00C74100" w:rsidRDefault="00C74100" w:rsidP="00DC0F05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C74100">
              <w:rPr>
                <w:rFonts w:ascii="仿宋" w:eastAsia="仿宋" w:hAnsi="仿宋" w:cs="宋体" w:hint="eastAsia"/>
                <w:sz w:val="28"/>
                <w:szCs w:val="28"/>
              </w:rPr>
              <w:t>/年</w:t>
            </w:r>
          </w:p>
        </w:tc>
        <w:tc>
          <w:tcPr>
            <w:tcW w:w="3494" w:type="dxa"/>
            <w:vAlign w:val="center"/>
          </w:tcPr>
          <w:p w:rsidR="00C74100" w:rsidRPr="00AF603B" w:rsidRDefault="00C74100" w:rsidP="00AF603B">
            <w:pPr>
              <w:spacing w:line="300" w:lineRule="exact"/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proofErr w:type="gramStart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含使用</w:t>
            </w:r>
            <w:proofErr w:type="gramEnd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培训、设备及平台日常维护、省市监管平台要求的系统升级</w:t>
            </w:r>
          </w:p>
        </w:tc>
      </w:tr>
      <w:tr w:rsidR="00C74100" w:rsidRPr="00C74100" w:rsidTr="00DC0F05">
        <w:trPr>
          <w:trHeight w:val="523"/>
        </w:trPr>
        <w:tc>
          <w:tcPr>
            <w:tcW w:w="646" w:type="dxa"/>
            <w:vAlign w:val="center"/>
          </w:tcPr>
          <w:p w:rsidR="00C74100" w:rsidRPr="00AF603B" w:rsidRDefault="00C74100" w:rsidP="00DC0F05">
            <w:pPr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7</w:t>
            </w:r>
          </w:p>
        </w:tc>
        <w:tc>
          <w:tcPr>
            <w:tcW w:w="8485" w:type="dxa"/>
            <w:gridSpan w:val="6"/>
            <w:vAlign w:val="center"/>
          </w:tcPr>
          <w:p w:rsidR="00C74100" w:rsidRPr="00AF603B" w:rsidRDefault="00C74100" w:rsidP="00DC0F05">
            <w:pPr>
              <w:rPr>
                <w:rFonts w:ascii="仿宋" w:eastAsia="仿宋" w:hAnsi="仿宋" w:cs="仿宋_GB2312"/>
                <w:kern w:val="0"/>
                <w:sz w:val="28"/>
                <w:szCs w:val="32"/>
              </w:rPr>
            </w:pPr>
            <w:bookmarkStart w:id="76" w:name="_Toc36191653"/>
            <w:bookmarkStart w:id="77" w:name="_Toc36192069"/>
            <w:bookmarkStart w:id="78" w:name="_Toc36192289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>合计（含税）：      元   大写：</w:t>
            </w:r>
            <w:bookmarkEnd w:id="76"/>
            <w:bookmarkEnd w:id="77"/>
            <w:bookmarkEnd w:id="78"/>
            <w:r w:rsidRPr="00AF603B">
              <w:rPr>
                <w:rFonts w:ascii="仿宋" w:eastAsia="仿宋" w:hAnsi="仿宋" w:cs="仿宋_GB2312" w:hint="eastAsia"/>
                <w:kern w:val="0"/>
                <w:sz w:val="28"/>
                <w:szCs w:val="32"/>
              </w:rPr>
              <w:t xml:space="preserve"> </w:t>
            </w:r>
          </w:p>
        </w:tc>
      </w:tr>
    </w:tbl>
    <w:p w:rsidR="00297FF6" w:rsidRPr="00C74100" w:rsidRDefault="00297FF6" w:rsidP="00297FF6">
      <w:pPr>
        <w:pStyle w:val="a0"/>
      </w:pPr>
    </w:p>
    <w:sectPr w:rsidR="00297FF6" w:rsidRPr="00C74100" w:rsidSect="00C4799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76" w:rsidRDefault="00855476" w:rsidP="00C4799D">
      <w:r>
        <w:separator/>
      </w:r>
    </w:p>
  </w:endnote>
  <w:endnote w:type="continuationSeparator" w:id="0">
    <w:p w:rsidR="00855476" w:rsidRDefault="00855476" w:rsidP="00C4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9D" w:rsidRDefault="00C4799D">
    <w:pPr>
      <w:pStyle w:val="a5"/>
      <w:pBdr>
        <w:bottom w:val="single" w:sz="4" w:space="0" w:color="auto"/>
      </w:pBdr>
    </w:pPr>
  </w:p>
  <w:p w:rsidR="00C4799D" w:rsidRDefault="000A023E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4799D" w:rsidRDefault="000A023E">
                <w:pPr>
                  <w:pStyle w:val="a5"/>
                  <w:jc w:val="center"/>
                </w:pPr>
                <w:r>
                  <w:rPr>
                    <w:b/>
                    <w:bCs/>
                  </w:rPr>
                  <w:fldChar w:fldCharType="begin"/>
                </w:r>
                <w:r w:rsidR="00AA56FE">
                  <w:rPr>
                    <w:b/>
                    <w:bCs/>
                  </w:rPr>
                  <w:instrText>PAGE  \* Arabic  \* MERGEFORMAT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AF603B" w:rsidRPr="00AF603B">
                  <w:rPr>
                    <w:b/>
                    <w:bCs/>
                    <w:noProof/>
                    <w:lang w:val="zh-CN"/>
                  </w:rPr>
                  <w:t>1</w:t>
                </w:r>
                <w:r>
                  <w:rPr>
                    <w:b/>
                    <w:bCs/>
                  </w:rPr>
                  <w:fldChar w:fldCharType="end"/>
                </w:r>
                <w:r w:rsidR="00AA56FE">
                  <w:rPr>
                    <w:lang w:val="zh-CN"/>
                  </w:rPr>
                  <w:t xml:space="preserve"> / </w:t>
                </w:r>
                <w:fldSimple w:instr="NUMPAGES  \* Arabic  \* MERGEFORMAT">
                  <w:r w:rsidR="00AF603B" w:rsidRPr="00AF603B">
                    <w:rPr>
                      <w:b/>
                      <w:bCs/>
                      <w:noProof/>
                      <w:lang w:val="zh-CN"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76" w:rsidRDefault="00855476" w:rsidP="00C4799D">
      <w:r>
        <w:separator/>
      </w:r>
    </w:p>
  </w:footnote>
  <w:footnote w:type="continuationSeparator" w:id="0">
    <w:p w:rsidR="00855476" w:rsidRDefault="00855476" w:rsidP="00C47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0C288"/>
    <w:multiLevelType w:val="singleLevel"/>
    <w:tmpl w:val="6870C2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B95428"/>
    <w:rsid w:val="000358AC"/>
    <w:rsid w:val="000A023E"/>
    <w:rsid w:val="000C53D9"/>
    <w:rsid w:val="000F3015"/>
    <w:rsid w:val="00232F96"/>
    <w:rsid w:val="00297FF6"/>
    <w:rsid w:val="00367D38"/>
    <w:rsid w:val="00655B3A"/>
    <w:rsid w:val="00776C17"/>
    <w:rsid w:val="007C57E4"/>
    <w:rsid w:val="00855476"/>
    <w:rsid w:val="00AA56FE"/>
    <w:rsid w:val="00AF603B"/>
    <w:rsid w:val="00BB52B2"/>
    <w:rsid w:val="00C4799D"/>
    <w:rsid w:val="00C74100"/>
    <w:rsid w:val="00CD5363"/>
    <w:rsid w:val="00CF12AB"/>
    <w:rsid w:val="00FE22D0"/>
    <w:rsid w:val="0FC873DE"/>
    <w:rsid w:val="1DD54A7F"/>
    <w:rsid w:val="1FB66404"/>
    <w:rsid w:val="20015812"/>
    <w:rsid w:val="24664816"/>
    <w:rsid w:val="320C62DF"/>
    <w:rsid w:val="33385368"/>
    <w:rsid w:val="3423483D"/>
    <w:rsid w:val="37F82E45"/>
    <w:rsid w:val="5407375F"/>
    <w:rsid w:val="5EC96BAB"/>
    <w:rsid w:val="71D42FC8"/>
    <w:rsid w:val="7AB9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toc 1" w:uiPriority="39" w:unhideWhenUsed="1" w:qFormat="1"/>
    <w:lsdException w:name="toc 2" w:uiPriority="39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479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C47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79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C4799D"/>
    <w:pPr>
      <w:spacing w:after="120"/>
    </w:pPr>
  </w:style>
  <w:style w:type="paragraph" w:styleId="a4">
    <w:name w:val="Normal Indent"/>
    <w:basedOn w:val="a"/>
    <w:qFormat/>
    <w:rsid w:val="00C4799D"/>
    <w:pPr>
      <w:ind w:firstLineChars="200" w:firstLine="420"/>
    </w:pPr>
  </w:style>
  <w:style w:type="paragraph" w:styleId="4">
    <w:name w:val="index 4"/>
    <w:basedOn w:val="a"/>
    <w:next w:val="a"/>
    <w:qFormat/>
    <w:rsid w:val="00C4799D"/>
    <w:pPr>
      <w:ind w:left="1260"/>
    </w:pPr>
    <w:rPr>
      <w:rFonts w:ascii="Calibri" w:eastAsia="Calibri" w:hAnsi="Calibri" w:cs="宋体"/>
      <w:kern w:val="0"/>
      <w:sz w:val="20"/>
      <w:szCs w:val="20"/>
      <w:lang w:val="zh-CN"/>
    </w:rPr>
  </w:style>
  <w:style w:type="paragraph" w:styleId="a5">
    <w:name w:val="footer"/>
    <w:basedOn w:val="a"/>
    <w:uiPriority w:val="99"/>
    <w:unhideWhenUsed/>
    <w:qFormat/>
    <w:rsid w:val="00C479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rsid w:val="00C479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C4799D"/>
    <w:pPr>
      <w:tabs>
        <w:tab w:val="left" w:pos="840"/>
        <w:tab w:val="right" w:leader="dot" w:pos="8296"/>
      </w:tabs>
      <w:spacing w:line="480" w:lineRule="auto"/>
    </w:pPr>
    <w:rPr>
      <w:rFonts w:ascii="宋体" w:eastAsia="宋体" w:hAnsi="宋体"/>
      <w:b/>
      <w:bCs/>
      <w:sz w:val="24"/>
    </w:rPr>
  </w:style>
  <w:style w:type="paragraph" w:styleId="20">
    <w:name w:val="toc 2"/>
    <w:basedOn w:val="a"/>
    <w:next w:val="a"/>
    <w:uiPriority w:val="39"/>
    <w:unhideWhenUsed/>
    <w:qFormat/>
    <w:rsid w:val="00C4799D"/>
    <w:pPr>
      <w:tabs>
        <w:tab w:val="left" w:pos="1260"/>
        <w:tab w:val="right" w:leader="dot" w:pos="8296"/>
      </w:tabs>
      <w:ind w:leftChars="200" w:left="420"/>
    </w:pPr>
  </w:style>
  <w:style w:type="table" w:styleId="a7">
    <w:name w:val="Table Grid"/>
    <w:basedOn w:val="a2"/>
    <w:uiPriority w:val="39"/>
    <w:qFormat/>
    <w:rsid w:val="00C4799D"/>
    <w:pPr>
      <w:widowControl w:val="0"/>
      <w:autoSpaceDE w:val="0"/>
      <w:autoSpaceDN w:val="0"/>
    </w:pPr>
    <w:rPr>
      <w:rFonts w:ascii="DengXian" w:eastAsia="DengXian" w:hAnsi="DengXian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qFormat/>
    <w:rsid w:val="00C4799D"/>
    <w:rPr>
      <w:color w:val="0563C1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C4799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sid w:val="00C4799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xdrichtextbox2">
    <w:name w:val="xdrichtextbox2"/>
    <w:basedOn w:val="a1"/>
    <w:qFormat/>
    <w:rsid w:val="00C4799D"/>
    <w:rPr>
      <w:color w:val="auto"/>
      <w:sz w:val="20"/>
      <w:szCs w:val="20"/>
      <w:u w:val="none"/>
      <w:bdr w:val="single" w:sz="8" w:space="0" w:color="DCDCDC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292</Words>
  <Characters>1671</Characters>
  <Application>Microsoft Office Word</Application>
  <DocSecurity>0</DocSecurity>
  <Lines>13</Lines>
  <Paragraphs>3</Paragraphs>
  <ScaleCrop>false</ScaleCrop>
  <Company>简阳市人民医院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池涧波</dc:creator>
  <cp:lastModifiedBy>zbb</cp:lastModifiedBy>
  <cp:revision>8</cp:revision>
  <cp:lastPrinted>2020-04-28T02:47:00Z</cp:lastPrinted>
  <dcterms:created xsi:type="dcterms:W3CDTF">2020-04-28T02:38:00Z</dcterms:created>
  <dcterms:modified xsi:type="dcterms:W3CDTF">2020-04-30T01:46:00Z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