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F7" w:rsidRDefault="0003553D">
      <w:pPr>
        <w:pStyle w:val="1"/>
        <w:jc w:val="center"/>
        <w:rPr>
          <w:sz w:val="36"/>
          <w:szCs w:val="21"/>
        </w:rPr>
      </w:pPr>
      <w:r>
        <w:rPr>
          <w:rFonts w:hint="eastAsia"/>
          <w:sz w:val="36"/>
          <w:szCs w:val="21"/>
        </w:rPr>
        <w:t>简阳市人民医院消防系统维保技术服务要求</w:t>
      </w:r>
    </w:p>
    <w:p w:rsidR="006D28F7" w:rsidRDefault="0003553D">
      <w:pPr>
        <w:pStyle w:val="2"/>
        <w:numPr>
          <w:ilvl w:val="0"/>
          <w:numId w:val="1"/>
        </w:numPr>
      </w:pPr>
      <w:r>
        <w:rPr>
          <w:rFonts w:hint="eastAsia"/>
        </w:rPr>
        <w:t>维保服务范围</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门诊6万㎡、住院部6万㎡、行政楼4200㎡、</w:t>
      </w:r>
      <w:proofErr w:type="gramStart"/>
      <w:r>
        <w:rPr>
          <w:rFonts w:ascii="仿宋" w:eastAsia="仿宋" w:hAnsi="仿宋" w:cs="仿宋" w:hint="eastAsia"/>
          <w:sz w:val="28"/>
          <w:szCs w:val="28"/>
        </w:rPr>
        <w:t>影像楼</w:t>
      </w:r>
      <w:proofErr w:type="gramEnd"/>
      <w:r>
        <w:rPr>
          <w:rFonts w:ascii="仿宋" w:eastAsia="仿宋" w:hAnsi="仿宋" w:cs="仿宋" w:hint="eastAsia"/>
          <w:sz w:val="28"/>
          <w:szCs w:val="28"/>
        </w:rPr>
        <w:t>1400㎡、公寓楼3938㎡（含门市）。</w:t>
      </w:r>
    </w:p>
    <w:p w:rsidR="006D28F7" w:rsidRDefault="0003553D">
      <w:pPr>
        <w:pStyle w:val="3"/>
      </w:pPr>
      <w:r>
        <w:rPr>
          <w:rFonts w:hint="eastAsia"/>
        </w:rPr>
        <w:t>1.1</w:t>
      </w:r>
      <w:r>
        <w:rPr>
          <w:rFonts w:hint="eastAsia"/>
        </w:rPr>
        <w:t>主要设备</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消防供电设施、灭火器、消火栓、消防供水设施(消防水箱、稳(增)压泵及气压水罐、消防水泵、管道阀门等)、消防专用电话、防火分隔设施(防火卷帘门)。</w:t>
      </w:r>
    </w:p>
    <w:p w:rsidR="006D28F7" w:rsidRDefault="0003553D">
      <w:pPr>
        <w:pStyle w:val="3"/>
      </w:pPr>
      <w:r>
        <w:rPr>
          <w:rFonts w:hint="eastAsia"/>
        </w:rPr>
        <w:t xml:space="preserve">1.2 </w:t>
      </w:r>
      <w:r>
        <w:rPr>
          <w:rFonts w:hint="eastAsia"/>
        </w:rPr>
        <w:t>消防系统</w:t>
      </w:r>
    </w:p>
    <w:p w:rsidR="006D28F7" w:rsidRDefault="0003553D">
      <w:pPr>
        <w:spacing w:line="360" w:lineRule="auto"/>
        <w:ind w:firstLineChars="104" w:firstLine="291"/>
      </w:pPr>
      <w:r>
        <w:rPr>
          <w:rFonts w:ascii="仿宋" w:eastAsia="仿宋" w:hAnsi="仿宋" w:cs="仿宋" w:hint="eastAsia"/>
          <w:sz w:val="28"/>
          <w:szCs w:val="28"/>
        </w:rPr>
        <w:t>火灾自动报警系统(火灾报警探测器、警报装置、报警控制器、联动控制设备、手动报警按钮)、应急广播系统(扩音器、扬声器)、气体灭火系统、喷淋系统、排烟系统。</w:t>
      </w:r>
    </w:p>
    <w:p w:rsidR="006D28F7" w:rsidRDefault="0003553D">
      <w:pPr>
        <w:pStyle w:val="2"/>
      </w:pPr>
      <w:r>
        <w:rPr>
          <w:rFonts w:hint="eastAsia"/>
        </w:rPr>
        <w:t>2</w:t>
      </w:r>
      <w:r>
        <w:rPr>
          <w:rFonts w:hint="eastAsia"/>
        </w:rPr>
        <w:t>、服务方式</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2.1</w:t>
      </w:r>
      <w:r w:rsidR="008E2C98">
        <w:rPr>
          <w:rFonts w:ascii="仿宋" w:eastAsia="仿宋" w:hAnsi="仿宋" w:cs="仿宋" w:hint="eastAsia"/>
          <w:sz w:val="28"/>
          <w:szCs w:val="28"/>
        </w:rPr>
        <w:t>维保类型为</w:t>
      </w:r>
      <w:r w:rsidR="008E2C98" w:rsidRPr="00251C43">
        <w:rPr>
          <w:rFonts w:ascii="仿宋" w:eastAsia="仿宋" w:hAnsi="仿宋" w:cs="仿宋" w:hint="eastAsia"/>
          <w:b/>
          <w:sz w:val="28"/>
          <w:szCs w:val="28"/>
        </w:rPr>
        <w:t>技术保</w:t>
      </w:r>
      <w:r w:rsidR="008E2C98">
        <w:rPr>
          <w:rFonts w:ascii="仿宋" w:eastAsia="仿宋" w:hAnsi="仿宋" w:cs="仿宋" w:hint="eastAsia"/>
          <w:sz w:val="28"/>
          <w:szCs w:val="28"/>
        </w:rPr>
        <w:t>，需</w:t>
      </w:r>
      <w:r>
        <w:rPr>
          <w:rFonts w:ascii="仿宋" w:eastAsia="仿宋" w:hAnsi="仿宋" w:cs="仿宋" w:hint="eastAsia"/>
          <w:sz w:val="28"/>
          <w:szCs w:val="28"/>
        </w:rPr>
        <w:t>派专业维保技术人员对院内自动消防系统，日常保养每月1次。</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2.2提供全天候（含节假日）应急维修及故障修理。</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2.3维保单位在接到报修后，应在30分钟内到达故障现场进行检查。一般故障应立即排除，重大故障应在24小时内修复。当需超过2天尚无法修复故障时，需书面通知院方并增加日常管理人员与院方工作人员一同作好维修期间的安全防范，同时增加技术力量，尽快修</w:t>
      </w:r>
      <w:r>
        <w:rPr>
          <w:rFonts w:ascii="仿宋" w:eastAsia="仿宋" w:hAnsi="仿宋" w:cs="仿宋" w:hint="eastAsia"/>
          <w:sz w:val="28"/>
          <w:szCs w:val="28"/>
        </w:rPr>
        <w:lastRenderedPageBreak/>
        <w:t>复故障。</w:t>
      </w:r>
    </w:p>
    <w:p w:rsidR="006D28F7" w:rsidRDefault="0003553D">
      <w:pPr>
        <w:pStyle w:val="2"/>
      </w:pPr>
      <w:r>
        <w:rPr>
          <w:rFonts w:hint="eastAsia"/>
        </w:rPr>
        <w:t>3</w:t>
      </w:r>
      <w:r>
        <w:rPr>
          <w:rFonts w:hint="eastAsia"/>
        </w:rPr>
        <w:t>、服务要求</w:t>
      </w:r>
    </w:p>
    <w:p w:rsidR="006D28F7" w:rsidRDefault="0003553D">
      <w:pPr>
        <w:pStyle w:val="3"/>
      </w:pPr>
      <w:r>
        <w:rPr>
          <w:rFonts w:hint="eastAsia"/>
        </w:rPr>
        <w:t>3.1</w:t>
      </w:r>
      <w:r>
        <w:rPr>
          <w:rFonts w:hint="eastAsia"/>
        </w:rPr>
        <w:t>每半月进行</w:t>
      </w:r>
      <w:r>
        <w:rPr>
          <w:rFonts w:hint="eastAsia"/>
        </w:rPr>
        <w:t>1</w:t>
      </w:r>
      <w:r>
        <w:rPr>
          <w:rFonts w:hint="eastAsia"/>
        </w:rPr>
        <w:t>次一级维护巡查，月检的内容及标准内容如下：</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3.1.1消防控制室：设备无异常，自检系统良好，消音、复位正常，显示灯正常。</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3.1.2自动报警及联动控制系统：处于待机状态、无故障、无异常误报，对每个防火区的10%探测器进行吹烟试验，并联动相应的联动设备(声光报警等)。</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3.1.3</w:t>
      </w:r>
      <w:proofErr w:type="gramStart"/>
      <w:r>
        <w:rPr>
          <w:rFonts w:ascii="仿宋" w:eastAsia="仿宋" w:hAnsi="仿宋" w:cs="仿宋" w:hint="eastAsia"/>
          <w:sz w:val="28"/>
          <w:szCs w:val="28"/>
        </w:rPr>
        <w:t>泵房消防</w:t>
      </w:r>
      <w:proofErr w:type="gramEnd"/>
      <w:r>
        <w:rPr>
          <w:rFonts w:ascii="仿宋" w:eastAsia="仿宋" w:hAnsi="仿宋" w:cs="仿宋" w:hint="eastAsia"/>
          <w:sz w:val="28"/>
          <w:szCs w:val="28"/>
        </w:rPr>
        <w:t>设备：温度、压力、位置、响声处于正常范围，除锈并打油。</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3.1.4泡沫喷淋系统及消火栓系统：无冒、滴、漏现象。手/自动启泵各一次。</w:t>
      </w:r>
    </w:p>
    <w:p w:rsidR="006D28F7" w:rsidRDefault="0003553D">
      <w:pPr>
        <w:pStyle w:val="3"/>
      </w:pPr>
      <w:r>
        <w:rPr>
          <w:rFonts w:hint="eastAsia"/>
        </w:rPr>
        <w:t xml:space="preserve">3.2  </w:t>
      </w:r>
      <w:r>
        <w:rPr>
          <w:rFonts w:hint="eastAsia"/>
        </w:rPr>
        <w:t>每季度进行一次维护保养，对联动设备进行一次二级保养，季检内容及标准如下：</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3.2.1消防控制室：设备无异常，自检系统良好，消音、复位正常，显示灯正常。</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3.2.2自动报警及联动控制系统：处于待机状态、无故障、无异常误报，对每个防火区的30%探测器进行吹烟试验，并联动相应的联动设备(声光报警等)。</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3.2.3</w:t>
      </w:r>
      <w:proofErr w:type="gramStart"/>
      <w:r>
        <w:rPr>
          <w:rFonts w:ascii="仿宋" w:eastAsia="仿宋" w:hAnsi="仿宋" w:cs="仿宋" w:hint="eastAsia"/>
          <w:sz w:val="28"/>
          <w:szCs w:val="28"/>
        </w:rPr>
        <w:t>泵房消防</w:t>
      </w:r>
      <w:proofErr w:type="gramEnd"/>
      <w:r>
        <w:rPr>
          <w:rFonts w:ascii="仿宋" w:eastAsia="仿宋" w:hAnsi="仿宋" w:cs="仿宋" w:hint="eastAsia"/>
          <w:sz w:val="28"/>
          <w:szCs w:val="28"/>
        </w:rPr>
        <w:t>设备：温度、压力、位置、响声处于正常范围，除</w:t>
      </w:r>
      <w:r>
        <w:rPr>
          <w:rFonts w:ascii="仿宋" w:eastAsia="仿宋" w:hAnsi="仿宋" w:cs="仿宋" w:hint="eastAsia"/>
          <w:sz w:val="28"/>
          <w:szCs w:val="28"/>
        </w:rPr>
        <w:lastRenderedPageBreak/>
        <w:t>锈并打油。</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3.2.4泡沫喷淋系统及消火栓系统：无冒、滴、漏现象。手/自动启泵各一次。</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3.2.5消防通讯系统：无故障。</w:t>
      </w:r>
    </w:p>
    <w:p w:rsidR="006D28F7" w:rsidRDefault="0003553D">
      <w:pPr>
        <w:pStyle w:val="3"/>
      </w:pPr>
      <w:r>
        <w:rPr>
          <w:rFonts w:hint="eastAsia"/>
        </w:rPr>
        <w:t xml:space="preserve">3.3 </w:t>
      </w:r>
      <w:r>
        <w:rPr>
          <w:rFonts w:hint="eastAsia"/>
        </w:rPr>
        <w:t>每年最后一月对维护设备进行一次全面的检查，并对联动设备进行三级保养。检查内容及标准如下：</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3.3.1消防控制室：设备无异常，自检系统良好，消音、复位正常，显示灯正常。</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3.3.2自动报警及联动控制系统：处于待机状态、无故障、无异常误报，全面测试及联动实验，并联动相应的联动设备(声光报警、非消防电源切换</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次等)。</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3.3.3</w:t>
      </w:r>
      <w:proofErr w:type="gramStart"/>
      <w:r>
        <w:rPr>
          <w:rFonts w:ascii="仿宋" w:eastAsia="仿宋" w:hAnsi="仿宋" w:cs="仿宋" w:hint="eastAsia"/>
          <w:sz w:val="28"/>
          <w:szCs w:val="28"/>
        </w:rPr>
        <w:t>泵房消防</w:t>
      </w:r>
      <w:proofErr w:type="gramEnd"/>
      <w:r>
        <w:rPr>
          <w:rFonts w:ascii="仿宋" w:eastAsia="仿宋" w:hAnsi="仿宋" w:cs="仿宋" w:hint="eastAsia"/>
          <w:sz w:val="28"/>
          <w:szCs w:val="28"/>
        </w:rPr>
        <w:t>设备：温度、压力、位置、响声处于正常范围，除锈并打油。</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3.3.4泡沫喷淋系统及消火栓系统：无泡、冒、滴、漏现象。手/自动启泵各一次。</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3.3.5消防通讯系统：无故障。</w:t>
      </w:r>
    </w:p>
    <w:p w:rsidR="006D28F7" w:rsidRDefault="0003553D">
      <w:pPr>
        <w:pStyle w:val="3"/>
      </w:pPr>
      <w:r>
        <w:rPr>
          <w:rFonts w:hint="eastAsia"/>
        </w:rPr>
        <w:t xml:space="preserve">3.4 </w:t>
      </w:r>
      <w:r>
        <w:rPr>
          <w:rFonts w:hint="eastAsia"/>
        </w:rPr>
        <w:t>主控设备测试内容</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3.4.1火灾报警主机及区域控制机</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按现行国家标准《火灾报警控制器通用技术条件》的有关要求对报警控制器进行下列功能检查：</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a、火灾报警自检功能；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b、消音、复位功能；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c、故障报警功能；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d、火灾优先功能；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e、报警记忆功能；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f、电源自动转换和备用电源的自动充电功能；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g、备用电源的欠压和过压报警功能。</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3.4.2 各型探测设备：</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将各总线回路逐一接上控制器，对每个回路上的探测器用探测试验器和感温探测试验器进行喷烟和加温，观查探测器是否报警。地址编码是否正确。对报警按钮应逐个按下，观察指示灯是否亮，编号是否正确。</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3.4.3联动控制柜：</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把转换开关接通手动位置，进行以下单机调试：</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a、逐个按下所有消防报警钮，观察消防控制室的监屏上是否显示，按钮是否正确；按下控制屏上手动按钮</w:t>
      </w:r>
      <w:proofErr w:type="gramStart"/>
      <w:r>
        <w:rPr>
          <w:rFonts w:ascii="仿宋" w:eastAsia="仿宋" w:hAnsi="仿宋" w:cs="仿宋" w:hint="eastAsia"/>
          <w:sz w:val="28"/>
          <w:szCs w:val="28"/>
        </w:rPr>
        <w:t>能否起停消防泵</w:t>
      </w:r>
      <w:proofErr w:type="gramEnd"/>
      <w:r>
        <w:rPr>
          <w:rFonts w:ascii="仿宋" w:eastAsia="仿宋" w:hAnsi="仿宋" w:cs="仿宋" w:hint="eastAsia"/>
          <w:sz w:val="28"/>
          <w:szCs w:val="28"/>
        </w:rPr>
        <w:t>，能否收到动作信号。</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逐个打开喷淋末端试水装置，消防控制室监视屏上能否显示水流指示器的动作信号，湿式报警阀的动作信号以及信号蝶阀的状态信号模块编码是否正确；按下联动屏上的启动按钮观察能否启动消防泵，是否有动作号返回。</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c、用消防手提式电话插入消防电话插孔，逐个查核控制室的通话情况。</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3.4.4消防联动测试：</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投入主电源，消防所有设备置于自动状态，利用模拟信号（如对探头吹烟，按报警按钮等）以整个系统进行测试， 按消火栓报警按钮，消火栓是否启动，并显示动作信号，喷淋末端试水装置放水，水流指示器，湿式报警阀是否动作，是否启动喷淋泵，有无各种动作信号显示。通过显示系统能否显示各种控测器、报警按钮、消火栓、水喷淋等种种固定式灭火系统的具体及编号码，并通过打印检查其结果，与竣工图比较进行修改。</w:t>
      </w:r>
    </w:p>
    <w:p w:rsidR="006D28F7" w:rsidRDefault="0003553D">
      <w:pPr>
        <w:pStyle w:val="3"/>
      </w:pPr>
      <w:r>
        <w:rPr>
          <w:rFonts w:hint="eastAsia"/>
        </w:rPr>
        <w:t>3.5</w:t>
      </w:r>
      <w:r>
        <w:rPr>
          <w:rFonts w:hint="eastAsia"/>
        </w:rPr>
        <w:t>作业人员要求</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3.5.1作业人员需具备相关作业资质，人员配置需符合国家相关规定的要求和本项目现场工作要求，熟悉并掌握安全规程和规范，每年组织一次考试，不合格者不得从事相关作业。</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3.5.2维保单位技术人员应保持稳定。若需进行人员调整，在调整前必须向院方主管部门提交书面申请，经同意后再进行调整。</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3.5.3维保单位应对其现场施工人员进行有效管理，严格遵守院方的管理制度和现场作业要求，院方要求撤换不能胜任本职工作、行为不端或玩忽职守的现场施工人员时，维保单位应予以撤换，维保单位应对实施本项目相关人员的人身伤亡事故和维护工具及设施损坏负责。</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3.5.4维保单位应对配备的专业技术人员进行培训与安全教育，使其熟知安全管理体系，并严格遵守。</w:t>
      </w:r>
    </w:p>
    <w:p w:rsidR="006D28F7" w:rsidRDefault="0003553D">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3.5.5维保单位应对专业技术人员配置日常工作工器具及劳动保护用品。采购人有权拒绝无日常工作工器具及劳动保护用品的技术人员</w:t>
      </w:r>
      <w:r>
        <w:rPr>
          <w:rFonts w:ascii="仿宋" w:eastAsia="仿宋" w:hAnsi="仿宋" w:cs="仿宋" w:hint="eastAsia"/>
          <w:sz w:val="28"/>
          <w:szCs w:val="28"/>
        </w:rPr>
        <w:lastRenderedPageBreak/>
        <w:t>进入现场工作。</w:t>
      </w:r>
    </w:p>
    <w:p w:rsidR="006D28F7" w:rsidRDefault="0003553D">
      <w:pPr>
        <w:pStyle w:val="3"/>
      </w:pPr>
      <w:r>
        <w:rPr>
          <w:rFonts w:hint="eastAsia"/>
        </w:rPr>
        <w:t xml:space="preserve">3.6 </w:t>
      </w:r>
      <w:r>
        <w:rPr>
          <w:rFonts w:hint="eastAsia"/>
        </w:rPr>
        <w:t>单价金额在</w:t>
      </w:r>
      <w:r>
        <w:rPr>
          <w:rFonts w:hint="eastAsia"/>
        </w:rPr>
        <w:t>200</w:t>
      </w:r>
      <w:r>
        <w:rPr>
          <w:rFonts w:hint="eastAsia"/>
        </w:rPr>
        <w:t>元以下的零配件包含在维保费用中，单价金额</w:t>
      </w:r>
      <w:r>
        <w:rPr>
          <w:rFonts w:hint="eastAsia"/>
        </w:rPr>
        <w:t>200</w:t>
      </w:r>
      <w:r>
        <w:rPr>
          <w:rFonts w:hint="eastAsia"/>
        </w:rPr>
        <w:t>以上的零配件，据实结算。</w:t>
      </w:r>
    </w:p>
    <w:p w:rsidR="00E20477" w:rsidRPr="00E3245B" w:rsidRDefault="00E20477" w:rsidP="00E20477"/>
    <w:p w:rsidR="006D28F7" w:rsidRDefault="0003553D">
      <w:pPr>
        <w:pStyle w:val="a0"/>
      </w:pPr>
      <w:r>
        <w:rPr>
          <w:rFonts w:hint="eastAsia"/>
        </w:rPr>
        <w:t>附件：</w:t>
      </w:r>
    </w:p>
    <w:p w:rsidR="006D28F7" w:rsidRDefault="0003553D">
      <w:pPr>
        <w:pStyle w:val="1"/>
        <w:jc w:val="center"/>
        <w:rPr>
          <w:sz w:val="36"/>
          <w:szCs w:val="36"/>
        </w:rPr>
      </w:pPr>
      <w:bookmarkStart w:id="0" w:name="_Toc25544"/>
      <w:bookmarkStart w:id="1" w:name="_Toc26535"/>
      <w:bookmarkStart w:id="2" w:name="_Toc1051"/>
      <w:bookmarkStart w:id="3" w:name="_Toc28439"/>
      <w:r>
        <w:rPr>
          <w:rFonts w:hint="eastAsia"/>
          <w:sz w:val="36"/>
          <w:szCs w:val="36"/>
        </w:rPr>
        <w:t>消防系统维</w:t>
      </w:r>
      <w:bookmarkStart w:id="4" w:name="_GoBack"/>
      <w:bookmarkEnd w:id="4"/>
      <w:r>
        <w:rPr>
          <w:rFonts w:hint="eastAsia"/>
          <w:sz w:val="36"/>
          <w:szCs w:val="36"/>
        </w:rPr>
        <w:t>修常用配件报价表</w:t>
      </w:r>
      <w:bookmarkEnd w:id="0"/>
      <w:bookmarkEnd w:id="1"/>
      <w:bookmarkEnd w:id="2"/>
      <w:bookmarkEnd w:id="3"/>
    </w:p>
    <w:tbl>
      <w:tblPr>
        <w:tblStyle w:val="a5"/>
        <w:tblW w:w="8522" w:type="dxa"/>
        <w:tblLayout w:type="fixed"/>
        <w:tblLook w:val="04A0"/>
      </w:tblPr>
      <w:tblGrid>
        <w:gridCol w:w="719"/>
        <w:gridCol w:w="1784"/>
        <w:gridCol w:w="1333"/>
        <w:gridCol w:w="1550"/>
        <w:gridCol w:w="700"/>
        <w:gridCol w:w="1218"/>
        <w:gridCol w:w="1218"/>
      </w:tblGrid>
      <w:tr w:rsidR="006D28F7">
        <w:tc>
          <w:tcPr>
            <w:tcW w:w="719" w:type="dxa"/>
          </w:tcPr>
          <w:p w:rsidR="006D28F7" w:rsidRDefault="0003553D">
            <w:pPr>
              <w:spacing w:line="480" w:lineRule="auto"/>
              <w:jc w:val="center"/>
              <w:rPr>
                <w:b/>
                <w:bCs/>
              </w:rPr>
            </w:pPr>
            <w:r>
              <w:rPr>
                <w:rFonts w:hint="eastAsia"/>
                <w:b/>
                <w:bCs/>
              </w:rPr>
              <w:t>序号</w:t>
            </w:r>
          </w:p>
        </w:tc>
        <w:tc>
          <w:tcPr>
            <w:tcW w:w="1784" w:type="dxa"/>
          </w:tcPr>
          <w:p w:rsidR="006D28F7" w:rsidRDefault="0003553D">
            <w:pPr>
              <w:spacing w:line="480" w:lineRule="auto"/>
              <w:jc w:val="center"/>
              <w:rPr>
                <w:b/>
                <w:bCs/>
              </w:rPr>
            </w:pPr>
            <w:r>
              <w:rPr>
                <w:rFonts w:hint="eastAsia"/>
                <w:b/>
                <w:bCs/>
              </w:rPr>
              <w:t>名称</w:t>
            </w:r>
          </w:p>
        </w:tc>
        <w:tc>
          <w:tcPr>
            <w:tcW w:w="1333" w:type="dxa"/>
          </w:tcPr>
          <w:p w:rsidR="006D28F7" w:rsidRDefault="0003553D">
            <w:pPr>
              <w:spacing w:line="480" w:lineRule="auto"/>
              <w:jc w:val="center"/>
              <w:rPr>
                <w:b/>
                <w:bCs/>
              </w:rPr>
            </w:pPr>
            <w:r>
              <w:rPr>
                <w:rFonts w:hint="eastAsia"/>
                <w:b/>
                <w:bCs/>
              </w:rPr>
              <w:t>品牌</w:t>
            </w:r>
          </w:p>
        </w:tc>
        <w:tc>
          <w:tcPr>
            <w:tcW w:w="1550" w:type="dxa"/>
          </w:tcPr>
          <w:p w:rsidR="006D28F7" w:rsidRDefault="0003553D">
            <w:pPr>
              <w:spacing w:line="480" w:lineRule="auto"/>
              <w:jc w:val="center"/>
              <w:rPr>
                <w:b/>
                <w:bCs/>
              </w:rPr>
            </w:pPr>
            <w:r>
              <w:rPr>
                <w:rFonts w:hint="eastAsia"/>
                <w:b/>
                <w:bCs/>
              </w:rPr>
              <w:t>规格型号</w:t>
            </w:r>
          </w:p>
        </w:tc>
        <w:tc>
          <w:tcPr>
            <w:tcW w:w="700" w:type="dxa"/>
          </w:tcPr>
          <w:p w:rsidR="006D28F7" w:rsidRDefault="0003553D">
            <w:pPr>
              <w:spacing w:line="480" w:lineRule="auto"/>
              <w:jc w:val="center"/>
              <w:rPr>
                <w:b/>
                <w:bCs/>
              </w:rPr>
            </w:pPr>
            <w:r>
              <w:rPr>
                <w:rFonts w:hint="eastAsia"/>
                <w:b/>
                <w:bCs/>
              </w:rPr>
              <w:t>单位</w:t>
            </w:r>
          </w:p>
        </w:tc>
        <w:tc>
          <w:tcPr>
            <w:tcW w:w="1218" w:type="dxa"/>
          </w:tcPr>
          <w:p w:rsidR="006D28F7" w:rsidRDefault="0003553D">
            <w:pPr>
              <w:spacing w:line="480" w:lineRule="auto"/>
              <w:jc w:val="center"/>
              <w:rPr>
                <w:b/>
                <w:bCs/>
              </w:rPr>
            </w:pPr>
            <w:r>
              <w:rPr>
                <w:rFonts w:hint="eastAsia"/>
                <w:b/>
                <w:bCs/>
              </w:rPr>
              <w:t>单价（元）</w:t>
            </w:r>
          </w:p>
        </w:tc>
        <w:tc>
          <w:tcPr>
            <w:tcW w:w="1218" w:type="dxa"/>
          </w:tcPr>
          <w:p w:rsidR="006D28F7" w:rsidRDefault="0003553D">
            <w:pPr>
              <w:spacing w:line="480" w:lineRule="auto"/>
              <w:jc w:val="center"/>
              <w:rPr>
                <w:b/>
                <w:bCs/>
              </w:rPr>
            </w:pPr>
            <w:r>
              <w:rPr>
                <w:rFonts w:hint="eastAsia"/>
                <w:b/>
                <w:bCs/>
              </w:rPr>
              <w:t>备注</w:t>
            </w:r>
          </w:p>
        </w:tc>
      </w:tr>
      <w:tr w:rsidR="006D28F7">
        <w:tc>
          <w:tcPr>
            <w:tcW w:w="719" w:type="dxa"/>
          </w:tcPr>
          <w:p w:rsidR="006D28F7" w:rsidRDefault="006D28F7">
            <w:pPr>
              <w:spacing w:line="480" w:lineRule="auto"/>
              <w:jc w:val="center"/>
              <w:rPr>
                <w:b/>
                <w:bCs/>
              </w:rPr>
            </w:pPr>
          </w:p>
        </w:tc>
        <w:tc>
          <w:tcPr>
            <w:tcW w:w="1784" w:type="dxa"/>
          </w:tcPr>
          <w:p w:rsidR="006D28F7" w:rsidRDefault="006D28F7">
            <w:pPr>
              <w:spacing w:line="480" w:lineRule="auto"/>
              <w:jc w:val="center"/>
              <w:rPr>
                <w:b/>
                <w:bCs/>
              </w:rPr>
            </w:pPr>
          </w:p>
        </w:tc>
        <w:tc>
          <w:tcPr>
            <w:tcW w:w="1333" w:type="dxa"/>
          </w:tcPr>
          <w:p w:rsidR="006D28F7" w:rsidRDefault="006D28F7">
            <w:pPr>
              <w:spacing w:line="480" w:lineRule="auto"/>
              <w:jc w:val="center"/>
              <w:rPr>
                <w:b/>
                <w:bCs/>
              </w:rPr>
            </w:pPr>
          </w:p>
        </w:tc>
        <w:tc>
          <w:tcPr>
            <w:tcW w:w="1550" w:type="dxa"/>
          </w:tcPr>
          <w:p w:rsidR="006D28F7" w:rsidRDefault="006D28F7">
            <w:pPr>
              <w:spacing w:line="480" w:lineRule="auto"/>
              <w:jc w:val="center"/>
              <w:rPr>
                <w:b/>
                <w:bCs/>
              </w:rPr>
            </w:pPr>
          </w:p>
        </w:tc>
        <w:tc>
          <w:tcPr>
            <w:tcW w:w="700"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r>
      <w:tr w:rsidR="006D28F7">
        <w:tc>
          <w:tcPr>
            <w:tcW w:w="719" w:type="dxa"/>
          </w:tcPr>
          <w:p w:rsidR="006D28F7" w:rsidRDefault="006D28F7">
            <w:pPr>
              <w:spacing w:line="480" w:lineRule="auto"/>
              <w:jc w:val="center"/>
              <w:rPr>
                <w:b/>
                <w:bCs/>
              </w:rPr>
            </w:pPr>
          </w:p>
        </w:tc>
        <w:tc>
          <w:tcPr>
            <w:tcW w:w="1784" w:type="dxa"/>
          </w:tcPr>
          <w:p w:rsidR="006D28F7" w:rsidRDefault="006D28F7">
            <w:pPr>
              <w:spacing w:line="480" w:lineRule="auto"/>
              <w:jc w:val="center"/>
              <w:rPr>
                <w:b/>
                <w:bCs/>
              </w:rPr>
            </w:pPr>
          </w:p>
        </w:tc>
        <w:tc>
          <w:tcPr>
            <w:tcW w:w="1333" w:type="dxa"/>
          </w:tcPr>
          <w:p w:rsidR="006D28F7" w:rsidRDefault="006D28F7">
            <w:pPr>
              <w:spacing w:line="480" w:lineRule="auto"/>
              <w:jc w:val="center"/>
              <w:rPr>
                <w:b/>
                <w:bCs/>
              </w:rPr>
            </w:pPr>
          </w:p>
        </w:tc>
        <w:tc>
          <w:tcPr>
            <w:tcW w:w="1550" w:type="dxa"/>
          </w:tcPr>
          <w:p w:rsidR="006D28F7" w:rsidRDefault="006D28F7">
            <w:pPr>
              <w:spacing w:line="480" w:lineRule="auto"/>
              <w:jc w:val="center"/>
              <w:rPr>
                <w:b/>
                <w:bCs/>
              </w:rPr>
            </w:pPr>
          </w:p>
        </w:tc>
        <w:tc>
          <w:tcPr>
            <w:tcW w:w="700"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r>
      <w:tr w:rsidR="006D28F7">
        <w:tc>
          <w:tcPr>
            <w:tcW w:w="719" w:type="dxa"/>
          </w:tcPr>
          <w:p w:rsidR="006D28F7" w:rsidRDefault="006D28F7">
            <w:pPr>
              <w:spacing w:line="480" w:lineRule="auto"/>
              <w:jc w:val="center"/>
              <w:rPr>
                <w:b/>
                <w:bCs/>
              </w:rPr>
            </w:pPr>
          </w:p>
        </w:tc>
        <w:tc>
          <w:tcPr>
            <w:tcW w:w="1784" w:type="dxa"/>
          </w:tcPr>
          <w:p w:rsidR="006D28F7" w:rsidRDefault="006D28F7">
            <w:pPr>
              <w:spacing w:line="480" w:lineRule="auto"/>
              <w:jc w:val="center"/>
              <w:rPr>
                <w:b/>
                <w:bCs/>
              </w:rPr>
            </w:pPr>
          </w:p>
        </w:tc>
        <w:tc>
          <w:tcPr>
            <w:tcW w:w="1333" w:type="dxa"/>
          </w:tcPr>
          <w:p w:rsidR="006D28F7" w:rsidRDefault="006D28F7">
            <w:pPr>
              <w:spacing w:line="480" w:lineRule="auto"/>
              <w:jc w:val="center"/>
              <w:rPr>
                <w:b/>
                <w:bCs/>
              </w:rPr>
            </w:pPr>
          </w:p>
        </w:tc>
        <w:tc>
          <w:tcPr>
            <w:tcW w:w="1550" w:type="dxa"/>
          </w:tcPr>
          <w:p w:rsidR="006D28F7" w:rsidRDefault="006D28F7">
            <w:pPr>
              <w:spacing w:line="480" w:lineRule="auto"/>
              <w:jc w:val="center"/>
              <w:rPr>
                <w:b/>
                <w:bCs/>
              </w:rPr>
            </w:pPr>
          </w:p>
        </w:tc>
        <w:tc>
          <w:tcPr>
            <w:tcW w:w="700"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r>
      <w:tr w:rsidR="006D28F7">
        <w:tc>
          <w:tcPr>
            <w:tcW w:w="719" w:type="dxa"/>
          </w:tcPr>
          <w:p w:rsidR="006D28F7" w:rsidRDefault="006D28F7">
            <w:pPr>
              <w:spacing w:line="480" w:lineRule="auto"/>
              <w:jc w:val="center"/>
              <w:rPr>
                <w:b/>
                <w:bCs/>
              </w:rPr>
            </w:pPr>
          </w:p>
        </w:tc>
        <w:tc>
          <w:tcPr>
            <w:tcW w:w="1784" w:type="dxa"/>
          </w:tcPr>
          <w:p w:rsidR="006D28F7" w:rsidRDefault="006D28F7">
            <w:pPr>
              <w:spacing w:line="480" w:lineRule="auto"/>
              <w:jc w:val="center"/>
              <w:rPr>
                <w:b/>
                <w:bCs/>
              </w:rPr>
            </w:pPr>
          </w:p>
        </w:tc>
        <w:tc>
          <w:tcPr>
            <w:tcW w:w="1333" w:type="dxa"/>
          </w:tcPr>
          <w:p w:rsidR="006D28F7" w:rsidRDefault="006D28F7">
            <w:pPr>
              <w:spacing w:line="480" w:lineRule="auto"/>
              <w:jc w:val="center"/>
              <w:rPr>
                <w:b/>
                <w:bCs/>
              </w:rPr>
            </w:pPr>
          </w:p>
        </w:tc>
        <w:tc>
          <w:tcPr>
            <w:tcW w:w="1550" w:type="dxa"/>
          </w:tcPr>
          <w:p w:rsidR="006D28F7" w:rsidRDefault="006D28F7">
            <w:pPr>
              <w:spacing w:line="480" w:lineRule="auto"/>
              <w:jc w:val="center"/>
              <w:rPr>
                <w:b/>
                <w:bCs/>
              </w:rPr>
            </w:pPr>
          </w:p>
        </w:tc>
        <w:tc>
          <w:tcPr>
            <w:tcW w:w="700"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r>
      <w:tr w:rsidR="006D28F7">
        <w:tc>
          <w:tcPr>
            <w:tcW w:w="719" w:type="dxa"/>
          </w:tcPr>
          <w:p w:rsidR="006D28F7" w:rsidRDefault="006D28F7">
            <w:pPr>
              <w:spacing w:line="480" w:lineRule="auto"/>
              <w:jc w:val="center"/>
              <w:rPr>
                <w:b/>
                <w:bCs/>
              </w:rPr>
            </w:pPr>
          </w:p>
        </w:tc>
        <w:tc>
          <w:tcPr>
            <w:tcW w:w="1784" w:type="dxa"/>
          </w:tcPr>
          <w:p w:rsidR="006D28F7" w:rsidRDefault="006D28F7">
            <w:pPr>
              <w:spacing w:line="480" w:lineRule="auto"/>
              <w:jc w:val="center"/>
              <w:rPr>
                <w:b/>
                <w:bCs/>
              </w:rPr>
            </w:pPr>
          </w:p>
        </w:tc>
        <w:tc>
          <w:tcPr>
            <w:tcW w:w="1333" w:type="dxa"/>
          </w:tcPr>
          <w:p w:rsidR="006D28F7" w:rsidRDefault="006D28F7">
            <w:pPr>
              <w:spacing w:line="480" w:lineRule="auto"/>
              <w:jc w:val="center"/>
              <w:rPr>
                <w:b/>
                <w:bCs/>
              </w:rPr>
            </w:pPr>
          </w:p>
        </w:tc>
        <w:tc>
          <w:tcPr>
            <w:tcW w:w="1550" w:type="dxa"/>
          </w:tcPr>
          <w:p w:rsidR="006D28F7" w:rsidRDefault="006D28F7">
            <w:pPr>
              <w:spacing w:line="480" w:lineRule="auto"/>
              <w:jc w:val="center"/>
              <w:rPr>
                <w:b/>
                <w:bCs/>
              </w:rPr>
            </w:pPr>
          </w:p>
        </w:tc>
        <w:tc>
          <w:tcPr>
            <w:tcW w:w="700"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r>
      <w:tr w:rsidR="006D28F7">
        <w:tc>
          <w:tcPr>
            <w:tcW w:w="719" w:type="dxa"/>
          </w:tcPr>
          <w:p w:rsidR="006D28F7" w:rsidRDefault="006D28F7">
            <w:pPr>
              <w:spacing w:line="480" w:lineRule="auto"/>
              <w:jc w:val="center"/>
              <w:rPr>
                <w:b/>
                <w:bCs/>
              </w:rPr>
            </w:pPr>
          </w:p>
        </w:tc>
        <w:tc>
          <w:tcPr>
            <w:tcW w:w="1784" w:type="dxa"/>
          </w:tcPr>
          <w:p w:rsidR="006D28F7" w:rsidRDefault="006D28F7">
            <w:pPr>
              <w:spacing w:line="480" w:lineRule="auto"/>
              <w:jc w:val="center"/>
              <w:rPr>
                <w:b/>
                <w:bCs/>
              </w:rPr>
            </w:pPr>
          </w:p>
        </w:tc>
        <w:tc>
          <w:tcPr>
            <w:tcW w:w="1333" w:type="dxa"/>
          </w:tcPr>
          <w:p w:rsidR="006D28F7" w:rsidRDefault="006D28F7">
            <w:pPr>
              <w:spacing w:line="480" w:lineRule="auto"/>
              <w:jc w:val="center"/>
              <w:rPr>
                <w:b/>
                <w:bCs/>
              </w:rPr>
            </w:pPr>
          </w:p>
        </w:tc>
        <w:tc>
          <w:tcPr>
            <w:tcW w:w="1550" w:type="dxa"/>
          </w:tcPr>
          <w:p w:rsidR="006D28F7" w:rsidRDefault="006D28F7">
            <w:pPr>
              <w:spacing w:line="480" w:lineRule="auto"/>
              <w:jc w:val="center"/>
              <w:rPr>
                <w:b/>
                <w:bCs/>
              </w:rPr>
            </w:pPr>
          </w:p>
        </w:tc>
        <w:tc>
          <w:tcPr>
            <w:tcW w:w="700"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c>
          <w:tcPr>
            <w:tcW w:w="1218" w:type="dxa"/>
          </w:tcPr>
          <w:p w:rsidR="006D28F7" w:rsidRDefault="006D28F7">
            <w:pPr>
              <w:spacing w:line="480" w:lineRule="auto"/>
              <w:jc w:val="center"/>
              <w:rPr>
                <w:b/>
                <w:bCs/>
              </w:rPr>
            </w:pPr>
          </w:p>
        </w:tc>
      </w:tr>
    </w:tbl>
    <w:p w:rsidR="006D28F7" w:rsidRDefault="006D28F7"/>
    <w:sectPr w:rsidR="006D28F7" w:rsidSect="006D28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89" w:rsidRDefault="00A75589" w:rsidP="00E20477">
      <w:r>
        <w:separator/>
      </w:r>
    </w:p>
  </w:endnote>
  <w:endnote w:type="continuationSeparator" w:id="0">
    <w:p w:rsidR="00A75589" w:rsidRDefault="00A75589" w:rsidP="00E20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89" w:rsidRDefault="00A75589" w:rsidP="00E20477">
      <w:r>
        <w:separator/>
      </w:r>
    </w:p>
  </w:footnote>
  <w:footnote w:type="continuationSeparator" w:id="0">
    <w:p w:rsidR="00A75589" w:rsidRDefault="00A75589" w:rsidP="00E20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6D681"/>
    <w:multiLevelType w:val="singleLevel"/>
    <w:tmpl w:val="3B36D68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0BF429E"/>
    <w:rsid w:val="0003553D"/>
    <w:rsid w:val="00251C43"/>
    <w:rsid w:val="006D28F7"/>
    <w:rsid w:val="008E2C98"/>
    <w:rsid w:val="009D4A02"/>
    <w:rsid w:val="00A75589"/>
    <w:rsid w:val="00E20477"/>
    <w:rsid w:val="00E3245B"/>
    <w:rsid w:val="00F8718B"/>
    <w:rsid w:val="032A1252"/>
    <w:rsid w:val="14FB36C1"/>
    <w:rsid w:val="189842CD"/>
    <w:rsid w:val="18C40448"/>
    <w:rsid w:val="2AD45048"/>
    <w:rsid w:val="374E42D2"/>
    <w:rsid w:val="3BB75B82"/>
    <w:rsid w:val="3E0B2A69"/>
    <w:rsid w:val="44680904"/>
    <w:rsid w:val="4A653A0B"/>
    <w:rsid w:val="4E5D255C"/>
    <w:rsid w:val="4F305769"/>
    <w:rsid w:val="50BF429E"/>
    <w:rsid w:val="540D41F0"/>
    <w:rsid w:val="5EE261FB"/>
    <w:rsid w:val="5F08144F"/>
    <w:rsid w:val="63AC6E0B"/>
    <w:rsid w:val="641F5B59"/>
    <w:rsid w:val="71337BF6"/>
    <w:rsid w:val="720F3A2B"/>
    <w:rsid w:val="76A47CAF"/>
    <w:rsid w:val="7C763994"/>
    <w:rsid w:val="7FAF0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D28F7"/>
    <w:pPr>
      <w:widowControl w:val="0"/>
      <w:jc w:val="both"/>
    </w:pPr>
    <w:rPr>
      <w:rFonts w:ascii="Calibri" w:hAnsi="Calibri"/>
      <w:kern w:val="2"/>
      <w:sz w:val="21"/>
      <w:szCs w:val="24"/>
    </w:rPr>
  </w:style>
  <w:style w:type="paragraph" w:styleId="1">
    <w:name w:val="heading 1"/>
    <w:basedOn w:val="a"/>
    <w:next w:val="a"/>
    <w:qFormat/>
    <w:rsid w:val="006D28F7"/>
    <w:pPr>
      <w:keepNext/>
      <w:keepLines/>
      <w:spacing w:line="576" w:lineRule="auto"/>
      <w:outlineLvl w:val="0"/>
    </w:pPr>
    <w:rPr>
      <w:b/>
      <w:kern w:val="44"/>
      <w:sz w:val="44"/>
    </w:rPr>
  </w:style>
  <w:style w:type="paragraph" w:styleId="2">
    <w:name w:val="heading 2"/>
    <w:basedOn w:val="a"/>
    <w:next w:val="a"/>
    <w:qFormat/>
    <w:rsid w:val="006D28F7"/>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unhideWhenUsed/>
    <w:qFormat/>
    <w:rsid w:val="006D28F7"/>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D28F7"/>
    <w:pPr>
      <w:spacing w:after="120"/>
    </w:pPr>
  </w:style>
  <w:style w:type="paragraph" w:styleId="a4">
    <w:name w:val="Normal Indent"/>
    <w:basedOn w:val="a"/>
    <w:qFormat/>
    <w:rsid w:val="006D28F7"/>
    <w:pPr>
      <w:ind w:firstLineChars="200" w:firstLine="200"/>
    </w:pPr>
  </w:style>
  <w:style w:type="table" w:styleId="a5">
    <w:name w:val="Table Grid"/>
    <w:basedOn w:val="a2"/>
    <w:qFormat/>
    <w:rsid w:val="006D28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E20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E20477"/>
    <w:rPr>
      <w:rFonts w:ascii="Calibri" w:hAnsi="Calibri"/>
      <w:kern w:val="2"/>
      <w:sz w:val="18"/>
      <w:szCs w:val="18"/>
    </w:rPr>
  </w:style>
  <w:style w:type="paragraph" w:styleId="a7">
    <w:name w:val="footer"/>
    <w:basedOn w:val="a"/>
    <w:link w:val="Char0"/>
    <w:rsid w:val="00E20477"/>
    <w:pPr>
      <w:tabs>
        <w:tab w:val="center" w:pos="4153"/>
        <w:tab w:val="right" w:pos="8306"/>
      </w:tabs>
      <w:snapToGrid w:val="0"/>
      <w:jc w:val="left"/>
    </w:pPr>
    <w:rPr>
      <w:sz w:val="18"/>
      <w:szCs w:val="18"/>
    </w:rPr>
  </w:style>
  <w:style w:type="character" w:customStyle="1" w:styleId="Char0">
    <w:name w:val="页脚 Char"/>
    <w:basedOn w:val="a1"/>
    <w:link w:val="a7"/>
    <w:rsid w:val="00E2047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359</Words>
  <Characters>2050</Characters>
  <Application>Microsoft Office Word</Application>
  <DocSecurity>0</DocSecurity>
  <Lines>17</Lines>
  <Paragraphs>4</Paragraphs>
  <ScaleCrop>false</ScaleCrop>
  <Company>简阳市人民医院</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偶遇佳人</dc:creator>
  <cp:lastModifiedBy>杨福君</cp:lastModifiedBy>
  <cp:revision>13</cp:revision>
  <dcterms:created xsi:type="dcterms:W3CDTF">2021-03-22T10:26:00Z</dcterms:created>
  <dcterms:modified xsi:type="dcterms:W3CDTF">2021-03-26T01:46:00Z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2ECCDA91E7B748EB99F3351C7562CF34</vt:lpwstr>
  </property>
</Properties>
</file>