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远程影像会诊平台存储扩容</w:t>
      </w:r>
    </w:p>
    <w:p>
      <w:pPr>
        <w:pStyle w:val="3"/>
        <w:jc w:val="center"/>
        <w:rPr>
          <w:rFonts w:hint="eastAsia" w:eastAsiaTheme="minor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建设要求</w:t>
      </w:r>
    </w:p>
    <w:p>
      <w:pPr>
        <w:pStyle w:val="3"/>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1</w:t>
      </w:r>
      <w:r>
        <w:rPr>
          <w:color w:val="000000" w:themeColor="text1"/>
          <w:sz w:val="32"/>
          <w:szCs w:val="32"/>
          <w14:textFill>
            <w14:solidFill>
              <w14:schemeClr w14:val="tx1"/>
            </w14:solidFill>
          </w14:textFill>
        </w:rPr>
        <w:t>.</w:t>
      </w:r>
      <w:r>
        <w:rPr>
          <w:rFonts w:hint="eastAsia"/>
          <w:color w:val="000000" w:themeColor="text1"/>
          <w:sz w:val="32"/>
          <w:szCs w:val="32"/>
          <w14:textFill>
            <w14:solidFill>
              <w14:schemeClr w14:val="tx1"/>
            </w14:solidFill>
          </w14:textFill>
        </w:rPr>
        <w:t>项目介绍</w:t>
      </w:r>
    </w:p>
    <w:p>
      <w:pPr>
        <w:spacing w:line="360" w:lineRule="auto"/>
        <w:ind w:firstLine="480" w:firstLineChars="200"/>
        <w:rPr>
          <w:rFonts w:ascii="宋体" w:hAnsi="宋体" w:eastAsia="宋体"/>
          <w:sz w:val="24"/>
          <w:highlight w:val="green"/>
        </w:rPr>
      </w:pPr>
      <w:r>
        <w:rPr>
          <w:rFonts w:hint="eastAsia" w:ascii="宋体" w:hAnsi="宋体" w:eastAsia="宋体"/>
          <w:sz w:val="24"/>
        </w:rPr>
        <w:t>我市于2</w:t>
      </w:r>
      <w:r>
        <w:rPr>
          <w:rFonts w:ascii="宋体" w:hAnsi="宋体" w:eastAsia="宋体"/>
          <w:sz w:val="24"/>
        </w:rPr>
        <w:t>019</w:t>
      </w:r>
      <w:r>
        <w:rPr>
          <w:rFonts w:hint="eastAsia" w:ascii="宋体" w:hAnsi="宋体" w:eastAsia="宋体"/>
          <w:sz w:val="24"/>
        </w:rPr>
        <w:t>年建设远程医疗平台项目，由于区域内的乡镇卫生院迅速发展，新接入影像设备的增多，病人流量的快速递增，影像资料不断增加，区域平台现有的</w:t>
      </w:r>
      <w:r>
        <w:rPr>
          <w:rFonts w:ascii="宋体" w:hAnsi="宋体" w:eastAsia="宋体"/>
          <w:sz w:val="24"/>
        </w:rPr>
        <w:t>存储</w:t>
      </w:r>
      <w:r>
        <w:rPr>
          <w:rFonts w:hint="eastAsia" w:ascii="宋体" w:hAnsi="宋体" w:eastAsia="宋体"/>
          <w:sz w:val="24"/>
        </w:rPr>
        <w:t>联想V</w:t>
      </w:r>
      <w:r>
        <w:rPr>
          <w:rFonts w:ascii="宋体" w:hAnsi="宋体" w:eastAsia="宋体"/>
          <w:sz w:val="24"/>
        </w:rPr>
        <w:t>3700</w:t>
      </w:r>
      <w:r>
        <w:rPr>
          <w:rFonts w:hint="eastAsia" w:ascii="宋体" w:hAnsi="宋体" w:eastAsia="宋体"/>
          <w:sz w:val="24"/>
        </w:rPr>
        <w:t>（2</w:t>
      </w:r>
      <w:r>
        <w:rPr>
          <w:rFonts w:ascii="宋体" w:hAnsi="宋体" w:eastAsia="宋体"/>
          <w:sz w:val="24"/>
        </w:rPr>
        <w:t>0T</w:t>
      </w:r>
      <w:r>
        <w:rPr>
          <w:rFonts w:hint="eastAsia" w:ascii="宋体" w:hAnsi="宋体" w:eastAsia="宋体"/>
          <w:sz w:val="24"/>
        </w:rPr>
        <w:t>）</w:t>
      </w:r>
      <w:r>
        <w:rPr>
          <w:rFonts w:ascii="宋体" w:hAnsi="宋体" w:eastAsia="宋体"/>
          <w:sz w:val="24"/>
        </w:rPr>
        <w:t>已经无法满足需求。</w:t>
      </w:r>
    </w:p>
    <w:p>
      <w:pPr>
        <w:spacing w:line="360" w:lineRule="auto"/>
        <w:ind w:firstLine="480" w:firstLineChars="200"/>
        <w:rPr>
          <w:rFonts w:ascii="宋体" w:hAnsi="宋体" w:eastAsia="宋体"/>
          <w:sz w:val="24"/>
        </w:rPr>
      </w:pPr>
      <w:r>
        <w:rPr>
          <w:rFonts w:ascii="宋体" w:hAnsi="宋体" w:eastAsia="宋体"/>
          <w:sz w:val="24"/>
        </w:rPr>
        <w:t>按照目前区域内的病人流量统计，每天的图像存储</w:t>
      </w:r>
      <w:r>
        <w:rPr>
          <w:rFonts w:hint="eastAsia" w:ascii="宋体" w:hAnsi="宋体" w:eastAsia="宋体"/>
          <w:sz w:val="24"/>
        </w:rPr>
        <w:t>用量约为</w:t>
      </w:r>
      <w:r>
        <w:rPr>
          <w:rFonts w:ascii="宋体" w:hAnsi="宋体" w:eastAsia="宋体"/>
          <w:sz w:val="24"/>
        </w:rPr>
        <w:t>30GB</w:t>
      </w:r>
      <w:r>
        <w:rPr>
          <w:rFonts w:hint="eastAsia" w:ascii="宋体" w:hAnsi="宋体" w:eastAsia="宋体"/>
          <w:sz w:val="24"/>
        </w:rPr>
        <w:t>-</w:t>
      </w:r>
      <w:r>
        <w:rPr>
          <w:rFonts w:ascii="宋体" w:hAnsi="宋体" w:eastAsia="宋体"/>
          <w:sz w:val="24"/>
        </w:rPr>
        <w:t>40GB。</w:t>
      </w:r>
      <w:r>
        <w:rPr>
          <w:rFonts w:hint="eastAsia" w:ascii="宋体" w:hAnsi="宋体" w:eastAsia="宋体"/>
          <w:sz w:val="24"/>
        </w:rPr>
        <w:t>每年</w:t>
      </w:r>
      <w:r>
        <w:rPr>
          <w:rFonts w:ascii="宋体" w:hAnsi="宋体" w:eastAsia="宋体"/>
          <w:sz w:val="24"/>
        </w:rPr>
        <w:t>区域影像系统的图像存储容量</w:t>
      </w:r>
      <w:r>
        <w:rPr>
          <w:rFonts w:hint="eastAsia" w:ascii="宋体" w:hAnsi="宋体" w:eastAsia="宋体"/>
          <w:sz w:val="24"/>
        </w:rPr>
        <w:t>约</w:t>
      </w:r>
      <w:r>
        <w:rPr>
          <w:rFonts w:ascii="宋体" w:hAnsi="宋体" w:eastAsia="宋体"/>
          <w:sz w:val="24"/>
        </w:rPr>
        <w:t>为16</w:t>
      </w:r>
      <w:r>
        <w:rPr>
          <w:rFonts w:hint="eastAsia" w:ascii="宋体" w:hAnsi="宋体" w:eastAsia="宋体"/>
          <w:sz w:val="24"/>
        </w:rPr>
        <w:t>T</w:t>
      </w:r>
      <w:r>
        <w:rPr>
          <w:rFonts w:ascii="宋体" w:hAnsi="宋体" w:eastAsia="宋体"/>
          <w:sz w:val="24"/>
        </w:rPr>
        <w:t>B</w:t>
      </w:r>
      <w:r>
        <w:rPr>
          <w:rFonts w:hint="eastAsia" w:ascii="宋体" w:hAnsi="宋体" w:eastAsia="宋体"/>
          <w:sz w:val="24"/>
        </w:rPr>
        <w:t>，</w:t>
      </w:r>
      <w:r>
        <w:rPr>
          <w:rFonts w:ascii="宋体" w:hAnsi="宋体" w:eastAsia="宋体"/>
          <w:sz w:val="24"/>
        </w:rPr>
        <w:t>并且区域的病人量正在逐渐递增</w:t>
      </w:r>
      <w:r>
        <w:rPr>
          <w:rFonts w:hint="eastAsia" w:ascii="宋体" w:hAnsi="宋体" w:eastAsia="宋体"/>
          <w:sz w:val="24"/>
        </w:rPr>
        <w:t>，按照接入医院、影像设备数量以及检查人次每年1</w:t>
      </w:r>
      <w:r>
        <w:rPr>
          <w:rFonts w:ascii="宋体" w:hAnsi="宋体" w:eastAsia="宋体"/>
          <w:sz w:val="24"/>
        </w:rPr>
        <w:t>0</w:t>
      </w:r>
      <w:r>
        <w:rPr>
          <w:rFonts w:hint="eastAsia" w:ascii="宋体" w:hAnsi="宋体" w:eastAsia="宋体"/>
          <w:sz w:val="24"/>
        </w:rPr>
        <w:t>%-</w:t>
      </w:r>
      <w:r>
        <w:rPr>
          <w:rFonts w:ascii="宋体" w:hAnsi="宋体" w:eastAsia="宋体"/>
          <w:sz w:val="24"/>
        </w:rPr>
        <w:t>20</w:t>
      </w:r>
      <w:r>
        <w:rPr>
          <w:rFonts w:hint="eastAsia" w:ascii="宋体" w:hAnsi="宋体" w:eastAsia="宋体"/>
          <w:sz w:val="24"/>
        </w:rPr>
        <w:t>%的递增预算，所需影像存储空间平均约为2</w:t>
      </w:r>
      <w:r>
        <w:rPr>
          <w:rFonts w:ascii="宋体" w:hAnsi="宋体" w:eastAsia="宋体"/>
          <w:sz w:val="24"/>
        </w:rPr>
        <w:t>0TB/</w:t>
      </w:r>
      <w:r>
        <w:rPr>
          <w:rFonts w:hint="eastAsia" w:ascii="宋体" w:hAnsi="宋体" w:eastAsia="宋体"/>
          <w:sz w:val="24"/>
        </w:rPr>
        <w:t>年。为此存储平台需要扩容至少</w:t>
      </w:r>
      <w:r>
        <w:rPr>
          <w:rFonts w:ascii="宋体" w:hAnsi="宋体" w:eastAsia="宋体"/>
          <w:sz w:val="24"/>
        </w:rPr>
        <w:t>216TB</w:t>
      </w:r>
      <w:r>
        <w:rPr>
          <w:rFonts w:hint="eastAsia" w:ascii="宋体" w:hAnsi="宋体" w:eastAsia="宋体"/>
          <w:sz w:val="24"/>
        </w:rPr>
        <w:t>裸空间（可用空间至少10</w:t>
      </w:r>
      <w:r>
        <w:rPr>
          <w:rFonts w:ascii="宋体" w:hAnsi="宋体" w:eastAsia="宋体"/>
          <w:sz w:val="24"/>
        </w:rPr>
        <w:t>8</w:t>
      </w:r>
      <w:r>
        <w:rPr>
          <w:rFonts w:hint="eastAsia" w:ascii="宋体" w:hAnsi="宋体" w:eastAsia="宋体"/>
          <w:sz w:val="24"/>
        </w:rPr>
        <w:t>TB），满足未来5年的影像存储空间要求。同时，系统设计要兼顾数据的备份安全和未来的灵活的扩展。</w:t>
      </w:r>
    </w:p>
    <w:p>
      <w:pPr>
        <w:pStyle w:val="3"/>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2.</w:t>
      </w:r>
      <w:r>
        <w:rPr>
          <w:rFonts w:hint="eastAsia"/>
          <w:color w:val="000000" w:themeColor="text1"/>
          <w:sz w:val="32"/>
          <w:szCs w:val="32"/>
          <w14:textFill>
            <w14:solidFill>
              <w14:schemeClr w14:val="tx1"/>
            </w14:solidFill>
          </w14:textFill>
        </w:rPr>
        <w:t>★商务要求</w:t>
      </w:r>
    </w:p>
    <w:p>
      <w:pPr>
        <w:rPr>
          <w:rFonts w:ascii="宋体" w:hAnsi="宋体" w:eastAsia="宋体"/>
          <w:sz w:val="24"/>
        </w:rPr>
      </w:pPr>
      <w:r>
        <w:rPr>
          <w:rFonts w:ascii="宋体" w:hAnsi="宋体" w:eastAsia="宋体"/>
          <w:sz w:val="24"/>
        </w:rPr>
        <w:t>2.1</w:t>
      </w:r>
      <w:r>
        <w:rPr>
          <w:rFonts w:hint="eastAsia" w:ascii="宋体" w:hAnsi="宋体" w:eastAsia="宋体"/>
          <w:sz w:val="24"/>
        </w:rPr>
        <w:t>供应商资格要求：</w:t>
      </w:r>
    </w:p>
    <w:p>
      <w:pPr>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.1.1</w:t>
      </w:r>
      <w:r>
        <w:rPr>
          <w:rFonts w:hint="eastAsia" w:ascii="宋体" w:hAnsi="宋体" w:eastAsia="宋体" w:cs="宋体"/>
          <w:sz w:val="24"/>
        </w:rPr>
        <w:t xml:space="preserve">公司营业执照副本（复印件）； </w:t>
      </w:r>
    </w:p>
    <w:p>
      <w:pPr>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.1.2</w:t>
      </w:r>
      <w:r>
        <w:rPr>
          <w:rFonts w:hint="eastAsia" w:ascii="宋体" w:hAnsi="宋体" w:eastAsia="宋体" w:cs="宋体"/>
          <w:sz w:val="24"/>
        </w:rPr>
        <w:t>法人身份证（复印件）；</w:t>
      </w:r>
    </w:p>
    <w:p>
      <w:pPr>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.1.3</w:t>
      </w:r>
      <w:r>
        <w:rPr>
          <w:rFonts w:hint="eastAsia" w:ascii="宋体" w:hAnsi="宋体" w:eastAsia="宋体" w:cs="宋体"/>
          <w:sz w:val="24"/>
        </w:rPr>
        <w:t>法定代表人授权书（原件）；</w:t>
      </w:r>
    </w:p>
    <w:p>
      <w:pPr>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.1.4</w:t>
      </w:r>
      <w:r>
        <w:rPr>
          <w:rFonts w:hint="eastAsia" w:ascii="宋体" w:hAnsi="宋体" w:eastAsia="宋体" w:cs="宋体"/>
          <w:sz w:val="24"/>
        </w:rPr>
        <w:t>授权代表人身份证（复印件）；</w:t>
      </w:r>
    </w:p>
    <w:p>
      <w:pPr>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.1.5</w:t>
      </w:r>
      <w:r>
        <w:rPr>
          <w:rFonts w:hint="eastAsia" w:ascii="宋体" w:hAnsi="宋体" w:eastAsia="宋体" w:cs="宋体"/>
          <w:sz w:val="24"/>
        </w:rPr>
        <w:t>逐条响应系统功能技术参数表；</w:t>
      </w:r>
    </w:p>
    <w:p>
      <w:pPr>
        <w:pStyle w:val="2"/>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.1.6</w:t>
      </w:r>
      <w:r>
        <w:rPr>
          <w:rFonts w:hint="eastAsia" w:ascii="宋体" w:hAnsi="宋体" w:eastAsia="宋体" w:cs="宋体"/>
          <w:sz w:val="24"/>
        </w:rPr>
        <w:t>将不能满足的功能技术参数单独列一张表；</w:t>
      </w:r>
    </w:p>
    <w:p>
      <w:pPr>
        <w:rPr>
          <w:rFonts w:ascii="宋体" w:hAnsi="宋体" w:eastAsia="宋体"/>
          <w:sz w:val="24"/>
        </w:rPr>
      </w:pPr>
      <w:r>
        <w:rPr>
          <w:rFonts w:ascii="宋体" w:hAnsi="宋体" w:eastAsia="宋体"/>
          <w:sz w:val="24"/>
        </w:rPr>
        <w:t>2.2</w:t>
      </w:r>
      <w:r>
        <w:rPr>
          <w:rFonts w:hint="eastAsia" w:ascii="宋体" w:hAnsi="宋体" w:eastAsia="宋体" w:cs="宋体"/>
          <w:sz w:val="24"/>
        </w:rPr>
        <w:t>不满足技术参数列表：</w:t>
      </w:r>
    </w:p>
    <w:p>
      <w:pPr>
        <w:ind w:left="210" w:leftChars="100"/>
        <w:jc w:val="center"/>
        <w:rPr>
          <w:rFonts w:ascii="宋体" w:hAnsi="宋体" w:eastAsia="宋体" w:cs="宋体"/>
          <w:sz w:val="24"/>
        </w:rPr>
      </w:pPr>
    </w:p>
    <w:tbl>
      <w:tblPr>
        <w:tblStyle w:val="1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3284"/>
        <w:gridCol w:w="2950"/>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9" w:type="dxa"/>
          </w:tcPr>
          <w:p>
            <w:pPr>
              <w:jc w:val="center"/>
              <w:rPr>
                <w:rFonts w:ascii="宋体" w:hAnsi="宋体" w:eastAsia="宋体" w:cs="宋体"/>
                <w:sz w:val="24"/>
              </w:rPr>
            </w:pPr>
            <w:r>
              <w:rPr>
                <w:rFonts w:hint="eastAsia" w:ascii="宋体" w:hAnsi="宋体" w:eastAsia="宋体" w:cs="宋体"/>
                <w:sz w:val="24"/>
              </w:rPr>
              <w:t>序号</w:t>
            </w:r>
          </w:p>
        </w:tc>
        <w:tc>
          <w:tcPr>
            <w:tcW w:w="3284" w:type="dxa"/>
          </w:tcPr>
          <w:p>
            <w:pPr>
              <w:jc w:val="center"/>
              <w:rPr>
                <w:rFonts w:ascii="宋体" w:hAnsi="宋体" w:eastAsia="宋体" w:cs="宋体"/>
                <w:sz w:val="24"/>
              </w:rPr>
            </w:pPr>
            <w:r>
              <w:rPr>
                <w:rFonts w:hint="eastAsia" w:ascii="宋体" w:hAnsi="宋体" w:eastAsia="宋体" w:cs="宋体"/>
                <w:sz w:val="24"/>
              </w:rPr>
              <w:t>不满足</w:t>
            </w:r>
            <w:r>
              <w:rPr>
                <w:rFonts w:ascii="宋体" w:hAnsi="宋体" w:eastAsia="宋体" w:cs="宋体"/>
                <w:sz w:val="24"/>
              </w:rPr>
              <w:t>功能项</w:t>
            </w:r>
          </w:p>
        </w:tc>
        <w:tc>
          <w:tcPr>
            <w:tcW w:w="2950" w:type="dxa"/>
          </w:tcPr>
          <w:p>
            <w:pPr>
              <w:jc w:val="center"/>
              <w:rPr>
                <w:rFonts w:ascii="宋体" w:hAnsi="宋体" w:eastAsia="宋体" w:cs="宋体"/>
                <w:sz w:val="24"/>
              </w:rPr>
            </w:pPr>
            <w:r>
              <w:rPr>
                <w:rFonts w:hint="eastAsia" w:ascii="宋体" w:hAnsi="宋体" w:eastAsia="宋体" w:cs="宋体"/>
                <w:sz w:val="24"/>
              </w:rPr>
              <w:t>不满足参数要求</w:t>
            </w:r>
          </w:p>
        </w:tc>
        <w:tc>
          <w:tcPr>
            <w:tcW w:w="1219" w:type="dxa"/>
          </w:tcPr>
          <w:p>
            <w:pPr>
              <w:jc w:val="center"/>
              <w:rPr>
                <w:rFonts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9" w:type="dxa"/>
          </w:tcPr>
          <w:p>
            <w:pPr>
              <w:rPr>
                <w:rFonts w:asciiTheme="minorEastAsia" w:hAnsiTheme="minorEastAsia" w:cstheme="minorEastAsia"/>
                <w:szCs w:val="21"/>
              </w:rPr>
            </w:pPr>
          </w:p>
        </w:tc>
        <w:tc>
          <w:tcPr>
            <w:tcW w:w="3284" w:type="dxa"/>
          </w:tcPr>
          <w:p>
            <w:pPr>
              <w:rPr>
                <w:rFonts w:asciiTheme="minorEastAsia" w:hAnsiTheme="minorEastAsia" w:cstheme="minorEastAsia"/>
                <w:szCs w:val="21"/>
              </w:rPr>
            </w:pPr>
          </w:p>
        </w:tc>
        <w:tc>
          <w:tcPr>
            <w:tcW w:w="2950" w:type="dxa"/>
          </w:tcPr>
          <w:p>
            <w:pPr>
              <w:rPr>
                <w:rFonts w:asciiTheme="minorEastAsia" w:hAnsiTheme="minorEastAsia" w:cstheme="minorEastAsia"/>
                <w:szCs w:val="21"/>
              </w:rPr>
            </w:pPr>
          </w:p>
        </w:tc>
        <w:tc>
          <w:tcPr>
            <w:tcW w:w="1219" w:type="dxa"/>
          </w:tcPr>
          <w:p>
            <w:pP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9" w:type="dxa"/>
          </w:tcPr>
          <w:p>
            <w:pPr>
              <w:rPr>
                <w:rFonts w:asciiTheme="minorEastAsia" w:hAnsiTheme="minorEastAsia" w:cstheme="minorEastAsia"/>
                <w:szCs w:val="21"/>
              </w:rPr>
            </w:pPr>
          </w:p>
        </w:tc>
        <w:tc>
          <w:tcPr>
            <w:tcW w:w="3284" w:type="dxa"/>
          </w:tcPr>
          <w:p>
            <w:pPr>
              <w:rPr>
                <w:rFonts w:asciiTheme="minorEastAsia" w:hAnsiTheme="minorEastAsia" w:cstheme="minorEastAsia"/>
                <w:szCs w:val="21"/>
              </w:rPr>
            </w:pPr>
          </w:p>
        </w:tc>
        <w:tc>
          <w:tcPr>
            <w:tcW w:w="2950" w:type="dxa"/>
          </w:tcPr>
          <w:p>
            <w:pPr>
              <w:rPr>
                <w:rFonts w:asciiTheme="minorEastAsia" w:hAnsiTheme="minorEastAsia" w:cstheme="minorEastAsia"/>
                <w:szCs w:val="21"/>
              </w:rPr>
            </w:pPr>
          </w:p>
        </w:tc>
        <w:tc>
          <w:tcPr>
            <w:tcW w:w="1219" w:type="dxa"/>
          </w:tcPr>
          <w:p>
            <w:pP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9" w:type="dxa"/>
          </w:tcPr>
          <w:p>
            <w:pPr>
              <w:rPr>
                <w:rFonts w:asciiTheme="minorEastAsia" w:hAnsiTheme="minorEastAsia" w:cstheme="minorEastAsia"/>
                <w:szCs w:val="21"/>
              </w:rPr>
            </w:pPr>
          </w:p>
        </w:tc>
        <w:tc>
          <w:tcPr>
            <w:tcW w:w="3284" w:type="dxa"/>
          </w:tcPr>
          <w:p>
            <w:pPr>
              <w:rPr>
                <w:rFonts w:asciiTheme="minorEastAsia" w:hAnsiTheme="minorEastAsia" w:cstheme="minorEastAsia"/>
                <w:szCs w:val="21"/>
              </w:rPr>
            </w:pPr>
          </w:p>
        </w:tc>
        <w:tc>
          <w:tcPr>
            <w:tcW w:w="2950" w:type="dxa"/>
          </w:tcPr>
          <w:p>
            <w:pPr>
              <w:rPr>
                <w:rFonts w:asciiTheme="minorEastAsia" w:hAnsiTheme="minorEastAsia" w:cstheme="minorEastAsia"/>
                <w:szCs w:val="21"/>
              </w:rPr>
            </w:pPr>
          </w:p>
        </w:tc>
        <w:tc>
          <w:tcPr>
            <w:tcW w:w="1219" w:type="dxa"/>
          </w:tcPr>
          <w:p>
            <w:pP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9" w:type="dxa"/>
          </w:tcPr>
          <w:p>
            <w:pPr>
              <w:rPr>
                <w:rFonts w:asciiTheme="minorEastAsia" w:hAnsiTheme="minorEastAsia" w:cstheme="minorEastAsia"/>
                <w:szCs w:val="21"/>
              </w:rPr>
            </w:pPr>
          </w:p>
        </w:tc>
        <w:tc>
          <w:tcPr>
            <w:tcW w:w="3284" w:type="dxa"/>
          </w:tcPr>
          <w:p>
            <w:pPr>
              <w:rPr>
                <w:rFonts w:asciiTheme="minorEastAsia" w:hAnsiTheme="minorEastAsia" w:cstheme="minorEastAsia"/>
                <w:szCs w:val="21"/>
              </w:rPr>
            </w:pPr>
          </w:p>
        </w:tc>
        <w:tc>
          <w:tcPr>
            <w:tcW w:w="2950" w:type="dxa"/>
          </w:tcPr>
          <w:p>
            <w:pPr>
              <w:rPr>
                <w:rFonts w:asciiTheme="minorEastAsia" w:hAnsiTheme="minorEastAsia" w:cstheme="minorEastAsia"/>
                <w:szCs w:val="21"/>
              </w:rPr>
            </w:pPr>
          </w:p>
        </w:tc>
        <w:tc>
          <w:tcPr>
            <w:tcW w:w="1219" w:type="dxa"/>
          </w:tcPr>
          <w:p>
            <w:pP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9" w:type="dxa"/>
          </w:tcPr>
          <w:p>
            <w:pPr>
              <w:rPr>
                <w:rFonts w:asciiTheme="minorEastAsia" w:hAnsiTheme="minorEastAsia" w:cstheme="minorEastAsia"/>
                <w:szCs w:val="21"/>
              </w:rPr>
            </w:pPr>
          </w:p>
        </w:tc>
        <w:tc>
          <w:tcPr>
            <w:tcW w:w="3284" w:type="dxa"/>
          </w:tcPr>
          <w:p>
            <w:pPr>
              <w:rPr>
                <w:rFonts w:asciiTheme="minorEastAsia" w:hAnsiTheme="minorEastAsia" w:cstheme="minorEastAsia"/>
                <w:szCs w:val="21"/>
              </w:rPr>
            </w:pPr>
          </w:p>
        </w:tc>
        <w:tc>
          <w:tcPr>
            <w:tcW w:w="2950" w:type="dxa"/>
          </w:tcPr>
          <w:p>
            <w:pPr>
              <w:rPr>
                <w:rFonts w:asciiTheme="minorEastAsia" w:hAnsiTheme="minorEastAsia" w:cstheme="minorEastAsia"/>
                <w:szCs w:val="21"/>
              </w:rPr>
            </w:pPr>
          </w:p>
        </w:tc>
        <w:tc>
          <w:tcPr>
            <w:tcW w:w="1219" w:type="dxa"/>
          </w:tcPr>
          <w:p>
            <w:pP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9" w:type="dxa"/>
          </w:tcPr>
          <w:p>
            <w:pPr>
              <w:rPr>
                <w:rFonts w:asciiTheme="minorEastAsia" w:hAnsiTheme="minorEastAsia" w:cstheme="minorEastAsia"/>
                <w:szCs w:val="21"/>
              </w:rPr>
            </w:pPr>
          </w:p>
        </w:tc>
        <w:tc>
          <w:tcPr>
            <w:tcW w:w="3284" w:type="dxa"/>
          </w:tcPr>
          <w:p>
            <w:pPr>
              <w:rPr>
                <w:rFonts w:asciiTheme="minorEastAsia" w:hAnsiTheme="minorEastAsia" w:cstheme="minorEastAsia"/>
                <w:szCs w:val="21"/>
              </w:rPr>
            </w:pPr>
          </w:p>
        </w:tc>
        <w:tc>
          <w:tcPr>
            <w:tcW w:w="2950" w:type="dxa"/>
          </w:tcPr>
          <w:p>
            <w:pPr>
              <w:rPr>
                <w:rFonts w:asciiTheme="minorEastAsia" w:hAnsiTheme="minorEastAsia" w:cstheme="minorEastAsia"/>
                <w:szCs w:val="21"/>
              </w:rPr>
            </w:pPr>
          </w:p>
        </w:tc>
        <w:tc>
          <w:tcPr>
            <w:tcW w:w="1219" w:type="dxa"/>
          </w:tcPr>
          <w:p>
            <w:pPr>
              <w:rPr>
                <w:rFonts w:asciiTheme="minorEastAsia" w:hAnsiTheme="minorEastAsia" w:cstheme="minorEastAsia"/>
                <w:szCs w:val="21"/>
              </w:rPr>
            </w:pPr>
          </w:p>
        </w:tc>
      </w:tr>
    </w:tbl>
    <w:p/>
    <w:p>
      <w:pPr>
        <w:rPr>
          <w:rFonts w:ascii="宋体" w:hAnsi="宋体" w:eastAsia="宋体" w:cs="宋体"/>
          <w:sz w:val="24"/>
        </w:rPr>
      </w:pPr>
      <w:r>
        <w:rPr>
          <w:rFonts w:ascii="宋体" w:hAnsi="宋体" w:eastAsia="宋体" w:cs="宋体"/>
          <w:sz w:val="24"/>
        </w:rPr>
        <w:t>2.3</w:t>
      </w:r>
      <w:r>
        <w:rPr>
          <w:rFonts w:hint="eastAsia" w:ascii="宋体" w:hAnsi="宋体" w:eastAsia="宋体" w:cs="宋体"/>
          <w:sz w:val="24"/>
        </w:rPr>
        <w:t>其他商务要求</w:t>
      </w:r>
    </w:p>
    <w:p>
      <w:pPr>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.3.1</w:t>
      </w:r>
      <w:r>
        <w:rPr>
          <w:rFonts w:hint="eastAsia" w:ascii="宋体" w:hAnsi="宋体" w:eastAsia="宋体" w:cs="宋体"/>
          <w:sz w:val="24"/>
        </w:rPr>
        <w:t>供应商所投产品包含叁年质保及运行维护服务；</w:t>
      </w:r>
    </w:p>
    <w:p>
      <w:pPr>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.3.2投标供应商提供15分钟响应，1小时到现场服务。</w:t>
      </w:r>
    </w:p>
    <w:p>
      <w:pPr>
        <w:pStyle w:val="3"/>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3.</w:t>
      </w:r>
      <w:r>
        <w:rPr>
          <w:rFonts w:hint="eastAsia"/>
          <w:color w:val="000000" w:themeColor="text1"/>
          <w:sz w:val="32"/>
          <w:szCs w:val="32"/>
          <w14:textFill>
            <w14:solidFill>
              <w14:schemeClr w14:val="tx1"/>
            </w14:solidFill>
          </w14:textFill>
        </w:rPr>
        <w:t>采</w:t>
      </w:r>
      <w:bookmarkStart w:id="0" w:name="_GoBack"/>
      <w:bookmarkEnd w:id="0"/>
      <w:r>
        <w:rPr>
          <w:rFonts w:hint="eastAsia"/>
          <w:color w:val="000000" w:themeColor="text1"/>
          <w:sz w:val="32"/>
          <w:szCs w:val="32"/>
          <w14:textFill>
            <w14:solidFill>
              <w14:schemeClr w14:val="tx1"/>
            </w14:solidFill>
          </w14:textFill>
        </w:rPr>
        <w:t>购清单</w:t>
      </w:r>
    </w:p>
    <w:tbl>
      <w:tblPr>
        <w:tblStyle w:val="17"/>
        <w:tblW w:w="8191"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5186"/>
        <w:gridCol w:w="1051"/>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904" w:type="dxa"/>
          </w:tcPr>
          <w:p>
            <w:pPr>
              <w:pStyle w:val="37"/>
              <w:widowControl w:val="0"/>
              <w:ind w:firstLine="0" w:firstLineChars="0"/>
              <w:jc w:val="center"/>
              <w:rPr>
                <w:rFonts w:ascii="宋体" w:hAnsi="宋体" w:cs="宋体"/>
                <w:sz w:val="24"/>
                <w:szCs w:val="24"/>
              </w:rPr>
            </w:pPr>
            <w:r>
              <w:rPr>
                <w:rFonts w:hint="eastAsia" w:ascii="宋体" w:hAnsi="宋体" w:cs="宋体"/>
                <w:sz w:val="24"/>
                <w:szCs w:val="24"/>
              </w:rPr>
              <w:t>序号</w:t>
            </w:r>
          </w:p>
        </w:tc>
        <w:tc>
          <w:tcPr>
            <w:tcW w:w="5186" w:type="dxa"/>
          </w:tcPr>
          <w:p>
            <w:pPr>
              <w:pStyle w:val="37"/>
              <w:widowControl w:val="0"/>
              <w:ind w:firstLine="0" w:firstLineChars="0"/>
              <w:jc w:val="center"/>
              <w:rPr>
                <w:rFonts w:ascii="宋体" w:hAnsi="宋体" w:cs="宋体"/>
                <w:sz w:val="24"/>
                <w:szCs w:val="24"/>
              </w:rPr>
            </w:pPr>
            <w:r>
              <w:rPr>
                <w:rFonts w:hint="eastAsia" w:ascii="宋体" w:hAnsi="宋体" w:cs="宋体"/>
                <w:sz w:val="24"/>
                <w:szCs w:val="24"/>
              </w:rPr>
              <w:t>产品或服务名称</w:t>
            </w:r>
          </w:p>
        </w:tc>
        <w:tc>
          <w:tcPr>
            <w:tcW w:w="1051" w:type="dxa"/>
          </w:tcPr>
          <w:p>
            <w:pPr>
              <w:pStyle w:val="37"/>
              <w:widowControl w:val="0"/>
              <w:ind w:firstLine="0" w:firstLineChars="0"/>
              <w:jc w:val="center"/>
              <w:rPr>
                <w:rFonts w:ascii="宋体" w:hAnsi="宋体" w:cs="宋体"/>
                <w:sz w:val="24"/>
                <w:szCs w:val="24"/>
              </w:rPr>
            </w:pPr>
            <w:r>
              <w:rPr>
                <w:rFonts w:hint="eastAsia" w:ascii="宋体" w:hAnsi="宋体" w:cs="宋体"/>
                <w:sz w:val="24"/>
                <w:szCs w:val="24"/>
              </w:rPr>
              <w:t>单位</w:t>
            </w:r>
          </w:p>
        </w:tc>
        <w:tc>
          <w:tcPr>
            <w:tcW w:w="1050" w:type="dxa"/>
          </w:tcPr>
          <w:p>
            <w:pPr>
              <w:pStyle w:val="37"/>
              <w:widowControl w:val="0"/>
              <w:ind w:firstLine="0" w:firstLineChars="0"/>
              <w:jc w:val="center"/>
              <w:rPr>
                <w:rFonts w:ascii="宋体" w:hAnsi="宋体" w:cs="宋体"/>
                <w:sz w:val="24"/>
                <w:szCs w:val="24"/>
              </w:rPr>
            </w:pPr>
            <w:r>
              <w:rPr>
                <w:rFonts w:hint="eastAsia" w:ascii="宋体" w:hAnsi="宋体" w:cs="宋体"/>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904" w:type="dxa"/>
          </w:tcPr>
          <w:p>
            <w:pPr>
              <w:pStyle w:val="37"/>
              <w:widowControl w:val="0"/>
              <w:ind w:firstLine="0" w:firstLineChars="0"/>
              <w:jc w:val="center"/>
              <w:rPr>
                <w:rFonts w:ascii="宋体" w:hAnsi="宋体" w:cs="宋体"/>
                <w:sz w:val="24"/>
                <w:szCs w:val="24"/>
              </w:rPr>
            </w:pPr>
            <w:r>
              <w:rPr>
                <w:rFonts w:hint="eastAsia" w:ascii="宋体" w:hAnsi="宋体" w:cs="宋体"/>
                <w:sz w:val="24"/>
                <w:szCs w:val="24"/>
              </w:rPr>
              <w:t>1</w:t>
            </w:r>
          </w:p>
        </w:tc>
        <w:tc>
          <w:tcPr>
            <w:tcW w:w="5186" w:type="dxa"/>
          </w:tcPr>
          <w:p>
            <w:pPr>
              <w:pStyle w:val="37"/>
              <w:widowControl w:val="0"/>
              <w:ind w:firstLine="0" w:firstLineChars="0"/>
              <w:jc w:val="left"/>
              <w:rPr>
                <w:rFonts w:ascii="宋体" w:hAnsi="宋体" w:cs="宋体"/>
                <w:sz w:val="24"/>
                <w:szCs w:val="24"/>
              </w:rPr>
            </w:pPr>
            <w:r>
              <w:rPr>
                <w:rFonts w:hint="eastAsia" w:ascii="宋体" w:hAnsi="宋体" w:cs="宋体"/>
                <w:sz w:val="24"/>
                <w:szCs w:val="24"/>
              </w:rPr>
              <w:t>存储服务器</w:t>
            </w:r>
          </w:p>
        </w:tc>
        <w:tc>
          <w:tcPr>
            <w:tcW w:w="1051" w:type="dxa"/>
          </w:tcPr>
          <w:p>
            <w:pPr>
              <w:pStyle w:val="37"/>
              <w:widowControl w:val="0"/>
              <w:ind w:firstLine="0" w:firstLineChars="0"/>
              <w:jc w:val="center"/>
              <w:rPr>
                <w:rFonts w:ascii="宋体" w:hAnsi="宋体" w:cs="宋体"/>
                <w:sz w:val="24"/>
                <w:szCs w:val="24"/>
              </w:rPr>
            </w:pPr>
            <w:r>
              <w:rPr>
                <w:rFonts w:hint="eastAsia" w:ascii="宋体" w:hAnsi="宋体" w:cs="宋体"/>
                <w:sz w:val="24"/>
                <w:szCs w:val="24"/>
              </w:rPr>
              <w:t>台</w:t>
            </w:r>
          </w:p>
        </w:tc>
        <w:tc>
          <w:tcPr>
            <w:tcW w:w="1050" w:type="dxa"/>
          </w:tcPr>
          <w:p>
            <w:pPr>
              <w:pStyle w:val="37"/>
              <w:widowControl w:val="0"/>
              <w:ind w:firstLine="0" w:firstLineChars="0"/>
              <w:jc w:val="center"/>
              <w:rPr>
                <w:rFonts w:ascii="宋体" w:hAnsi="宋体" w:cs="宋体"/>
                <w:sz w:val="24"/>
                <w:szCs w:val="24"/>
              </w:rPr>
            </w:pPr>
            <w:r>
              <w:rPr>
                <w:rFonts w:hint="eastAsia" w:ascii="宋体" w:hAnsi="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04" w:type="dxa"/>
          </w:tcPr>
          <w:p>
            <w:pPr>
              <w:pStyle w:val="37"/>
              <w:widowControl w:val="0"/>
              <w:ind w:firstLine="0" w:firstLineChars="0"/>
              <w:jc w:val="center"/>
              <w:rPr>
                <w:rFonts w:ascii="宋体" w:hAnsi="宋体" w:cs="宋体"/>
                <w:sz w:val="24"/>
                <w:szCs w:val="24"/>
              </w:rPr>
            </w:pPr>
            <w:r>
              <w:rPr>
                <w:rFonts w:hint="eastAsia" w:ascii="宋体" w:hAnsi="宋体" w:cs="宋体"/>
                <w:sz w:val="24"/>
                <w:szCs w:val="24"/>
              </w:rPr>
              <w:t>2</w:t>
            </w:r>
          </w:p>
        </w:tc>
        <w:tc>
          <w:tcPr>
            <w:tcW w:w="5186" w:type="dxa"/>
          </w:tcPr>
          <w:p>
            <w:pPr>
              <w:pStyle w:val="37"/>
              <w:widowControl w:val="0"/>
              <w:ind w:firstLine="0" w:firstLineChars="0"/>
              <w:jc w:val="left"/>
              <w:rPr>
                <w:rFonts w:ascii="宋体" w:hAnsi="宋体" w:cs="宋体"/>
                <w:sz w:val="24"/>
                <w:szCs w:val="24"/>
              </w:rPr>
            </w:pPr>
            <w:r>
              <w:rPr>
                <w:rFonts w:hint="eastAsia" w:ascii="宋体" w:hAnsi="宋体" w:cs="宋体"/>
                <w:sz w:val="24"/>
                <w:szCs w:val="24"/>
              </w:rPr>
              <w:t>分布式集群存储管理系统</w:t>
            </w:r>
          </w:p>
        </w:tc>
        <w:tc>
          <w:tcPr>
            <w:tcW w:w="1051" w:type="dxa"/>
          </w:tcPr>
          <w:p>
            <w:pPr>
              <w:pStyle w:val="37"/>
              <w:widowControl w:val="0"/>
              <w:ind w:firstLine="0" w:firstLineChars="0"/>
              <w:jc w:val="center"/>
              <w:rPr>
                <w:rFonts w:ascii="宋体" w:hAnsi="宋体" w:cs="宋体"/>
                <w:sz w:val="24"/>
                <w:szCs w:val="24"/>
              </w:rPr>
            </w:pPr>
            <w:r>
              <w:rPr>
                <w:rFonts w:hint="eastAsia" w:ascii="宋体" w:hAnsi="宋体" w:cs="宋体"/>
                <w:sz w:val="24"/>
                <w:szCs w:val="24"/>
              </w:rPr>
              <w:t>套</w:t>
            </w:r>
          </w:p>
        </w:tc>
        <w:tc>
          <w:tcPr>
            <w:tcW w:w="1050" w:type="dxa"/>
          </w:tcPr>
          <w:p>
            <w:pPr>
              <w:pStyle w:val="37"/>
              <w:widowControl w:val="0"/>
              <w:ind w:firstLine="0" w:firstLineChars="0"/>
              <w:jc w:val="center"/>
              <w:rPr>
                <w:rFonts w:ascii="宋体" w:hAnsi="宋体" w:cs="宋体"/>
                <w:sz w:val="24"/>
                <w:szCs w:val="24"/>
              </w:rPr>
            </w:pPr>
            <w:r>
              <w:rPr>
                <w:rFonts w:hint="eastAsia" w:ascii="宋体" w:hAnsi="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04" w:type="dxa"/>
          </w:tcPr>
          <w:p>
            <w:pPr>
              <w:pStyle w:val="37"/>
              <w:widowControl w:val="0"/>
              <w:ind w:firstLine="0" w:firstLineChars="0"/>
              <w:jc w:val="center"/>
              <w:rPr>
                <w:rFonts w:ascii="宋体" w:hAnsi="宋体" w:cs="宋体"/>
                <w:sz w:val="24"/>
                <w:szCs w:val="24"/>
              </w:rPr>
            </w:pPr>
            <w:r>
              <w:rPr>
                <w:rFonts w:hint="eastAsia" w:ascii="宋体" w:hAnsi="宋体" w:cs="宋体"/>
                <w:sz w:val="24"/>
                <w:szCs w:val="24"/>
              </w:rPr>
              <w:t>3</w:t>
            </w:r>
          </w:p>
        </w:tc>
        <w:tc>
          <w:tcPr>
            <w:tcW w:w="5186" w:type="dxa"/>
          </w:tcPr>
          <w:p>
            <w:pPr>
              <w:pStyle w:val="37"/>
              <w:widowControl w:val="0"/>
              <w:ind w:firstLine="0" w:firstLineChars="0"/>
              <w:jc w:val="left"/>
              <w:rPr>
                <w:rFonts w:ascii="宋体" w:hAnsi="宋体" w:cs="宋体"/>
                <w:sz w:val="24"/>
                <w:szCs w:val="24"/>
              </w:rPr>
            </w:pPr>
            <w:r>
              <w:rPr>
                <w:rFonts w:hint="eastAsia" w:ascii="宋体" w:hAnsi="宋体" w:cs="宋体"/>
                <w:sz w:val="24"/>
                <w:szCs w:val="24"/>
              </w:rPr>
              <w:t>万兆交换机</w:t>
            </w:r>
          </w:p>
        </w:tc>
        <w:tc>
          <w:tcPr>
            <w:tcW w:w="1051" w:type="dxa"/>
          </w:tcPr>
          <w:p>
            <w:pPr>
              <w:pStyle w:val="37"/>
              <w:widowControl w:val="0"/>
              <w:ind w:firstLine="0" w:firstLineChars="0"/>
              <w:jc w:val="center"/>
              <w:rPr>
                <w:rFonts w:ascii="宋体" w:hAnsi="宋体" w:cs="宋体"/>
                <w:sz w:val="24"/>
                <w:szCs w:val="24"/>
              </w:rPr>
            </w:pPr>
            <w:r>
              <w:rPr>
                <w:rFonts w:hint="eastAsia" w:ascii="宋体" w:hAnsi="宋体" w:cs="宋体"/>
                <w:sz w:val="24"/>
                <w:szCs w:val="24"/>
              </w:rPr>
              <w:t>台</w:t>
            </w:r>
          </w:p>
        </w:tc>
        <w:tc>
          <w:tcPr>
            <w:tcW w:w="1050" w:type="dxa"/>
          </w:tcPr>
          <w:p>
            <w:pPr>
              <w:pStyle w:val="37"/>
              <w:widowControl w:val="0"/>
              <w:ind w:firstLine="0" w:firstLineChars="0"/>
              <w:jc w:val="center"/>
              <w:rPr>
                <w:rFonts w:ascii="宋体" w:hAnsi="宋体" w:cs="宋体"/>
                <w:sz w:val="24"/>
                <w:szCs w:val="24"/>
              </w:rPr>
            </w:pPr>
            <w:r>
              <w:rPr>
                <w:rFonts w:hint="eastAsia" w:ascii="宋体" w:hAnsi="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04" w:type="dxa"/>
          </w:tcPr>
          <w:p>
            <w:pPr>
              <w:pStyle w:val="37"/>
              <w:widowControl w:val="0"/>
              <w:ind w:firstLine="0" w:firstLineChars="0"/>
              <w:jc w:val="center"/>
              <w:rPr>
                <w:rFonts w:ascii="宋体" w:hAnsi="宋体" w:cs="宋体"/>
                <w:sz w:val="24"/>
                <w:szCs w:val="24"/>
              </w:rPr>
            </w:pPr>
            <w:r>
              <w:rPr>
                <w:rFonts w:hint="eastAsia" w:ascii="宋体" w:hAnsi="宋体" w:cs="宋体"/>
                <w:sz w:val="24"/>
                <w:szCs w:val="24"/>
              </w:rPr>
              <w:t>4</w:t>
            </w:r>
          </w:p>
        </w:tc>
        <w:tc>
          <w:tcPr>
            <w:tcW w:w="5186" w:type="dxa"/>
          </w:tcPr>
          <w:p>
            <w:pPr>
              <w:pStyle w:val="37"/>
              <w:widowControl w:val="0"/>
              <w:ind w:firstLine="0" w:firstLineChars="0"/>
              <w:jc w:val="left"/>
              <w:rPr>
                <w:rFonts w:ascii="宋体" w:hAnsi="宋体" w:cs="宋体"/>
                <w:sz w:val="24"/>
                <w:szCs w:val="24"/>
              </w:rPr>
            </w:pPr>
            <w:r>
              <w:rPr>
                <w:rFonts w:hint="eastAsia" w:ascii="宋体" w:hAnsi="宋体" w:cs="宋体"/>
                <w:sz w:val="24"/>
                <w:szCs w:val="24"/>
              </w:rPr>
              <w:t>万兆网卡</w:t>
            </w:r>
          </w:p>
        </w:tc>
        <w:tc>
          <w:tcPr>
            <w:tcW w:w="1051" w:type="dxa"/>
          </w:tcPr>
          <w:p>
            <w:pPr>
              <w:pStyle w:val="37"/>
              <w:widowControl w:val="0"/>
              <w:ind w:firstLine="0" w:firstLineChars="0"/>
              <w:jc w:val="center"/>
              <w:rPr>
                <w:rFonts w:ascii="宋体" w:hAnsi="宋体" w:cs="宋体"/>
                <w:sz w:val="24"/>
                <w:szCs w:val="24"/>
              </w:rPr>
            </w:pPr>
            <w:r>
              <w:rPr>
                <w:rFonts w:hint="eastAsia" w:ascii="宋体" w:hAnsi="宋体" w:cs="宋体"/>
                <w:sz w:val="24"/>
                <w:szCs w:val="24"/>
              </w:rPr>
              <w:t>张</w:t>
            </w:r>
          </w:p>
        </w:tc>
        <w:tc>
          <w:tcPr>
            <w:tcW w:w="1050" w:type="dxa"/>
          </w:tcPr>
          <w:p>
            <w:pPr>
              <w:pStyle w:val="37"/>
              <w:widowControl w:val="0"/>
              <w:ind w:firstLine="0" w:firstLineChars="0"/>
              <w:jc w:val="center"/>
              <w:rPr>
                <w:rFonts w:ascii="宋体" w:hAnsi="宋体" w:cs="宋体"/>
                <w:sz w:val="24"/>
                <w:szCs w:val="24"/>
              </w:rPr>
            </w:pPr>
            <w:r>
              <w:rPr>
                <w:rFonts w:hint="eastAsia" w:ascii="宋体" w:hAnsi="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04" w:type="dxa"/>
          </w:tcPr>
          <w:p>
            <w:pPr>
              <w:pStyle w:val="37"/>
              <w:widowControl w:val="0"/>
              <w:ind w:firstLine="0" w:firstLineChars="0"/>
              <w:jc w:val="center"/>
              <w:rPr>
                <w:rFonts w:ascii="宋体" w:hAnsi="宋体" w:cs="宋体"/>
                <w:sz w:val="24"/>
                <w:szCs w:val="24"/>
              </w:rPr>
            </w:pPr>
            <w:r>
              <w:rPr>
                <w:rFonts w:hint="eastAsia" w:ascii="宋体" w:hAnsi="宋体" w:cs="宋体"/>
                <w:sz w:val="24"/>
                <w:szCs w:val="24"/>
              </w:rPr>
              <w:t>5</w:t>
            </w:r>
          </w:p>
        </w:tc>
        <w:tc>
          <w:tcPr>
            <w:tcW w:w="5186" w:type="dxa"/>
          </w:tcPr>
          <w:p>
            <w:pPr>
              <w:pStyle w:val="37"/>
              <w:widowControl w:val="0"/>
              <w:ind w:firstLine="0" w:firstLineChars="0"/>
              <w:jc w:val="left"/>
              <w:rPr>
                <w:rFonts w:ascii="宋体" w:hAnsi="宋体" w:cs="宋体"/>
                <w:sz w:val="24"/>
                <w:szCs w:val="24"/>
              </w:rPr>
            </w:pPr>
            <w:r>
              <w:rPr>
                <w:rFonts w:hint="eastAsia" w:ascii="宋体" w:hAnsi="宋体" w:cs="宋体"/>
                <w:sz w:val="24"/>
                <w:szCs w:val="24"/>
              </w:rPr>
              <w:t>数据迁移服务</w:t>
            </w:r>
          </w:p>
        </w:tc>
        <w:tc>
          <w:tcPr>
            <w:tcW w:w="1051" w:type="dxa"/>
          </w:tcPr>
          <w:p>
            <w:pPr>
              <w:pStyle w:val="37"/>
              <w:widowControl w:val="0"/>
              <w:ind w:firstLine="0" w:firstLineChars="0"/>
              <w:jc w:val="center"/>
              <w:rPr>
                <w:rFonts w:ascii="宋体" w:hAnsi="宋体" w:cs="宋体"/>
                <w:sz w:val="24"/>
                <w:szCs w:val="24"/>
              </w:rPr>
            </w:pPr>
            <w:r>
              <w:rPr>
                <w:rFonts w:hint="eastAsia" w:ascii="宋体" w:hAnsi="宋体" w:cs="宋体"/>
                <w:sz w:val="24"/>
                <w:szCs w:val="24"/>
              </w:rPr>
              <w:t>次</w:t>
            </w:r>
          </w:p>
        </w:tc>
        <w:tc>
          <w:tcPr>
            <w:tcW w:w="1050" w:type="dxa"/>
          </w:tcPr>
          <w:p>
            <w:pPr>
              <w:pStyle w:val="37"/>
              <w:widowControl w:val="0"/>
              <w:ind w:firstLine="0" w:firstLineChars="0"/>
              <w:jc w:val="center"/>
              <w:rPr>
                <w:rFonts w:ascii="宋体" w:hAnsi="宋体" w:cs="宋体"/>
                <w:sz w:val="24"/>
                <w:szCs w:val="24"/>
              </w:rPr>
            </w:pPr>
            <w:r>
              <w:rPr>
                <w:rFonts w:hint="eastAsia" w:ascii="宋体" w:hAnsi="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04" w:type="dxa"/>
          </w:tcPr>
          <w:p>
            <w:pPr>
              <w:pStyle w:val="37"/>
              <w:widowControl w:val="0"/>
              <w:ind w:firstLine="0" w:firstLineChars="0"/>
              <w:jc w:val="center"/>
              <w:rPr>
                <w:rFonts w:ascii="宋体" w:hAnsi="宋体" w:cs="宋体"/>
                <w:sz w:val="24"/>
                <w:szCs w:val="24"/>
              </w:rPr>
            </w:pPr>
            <w:r>
              <w:rPr>
                <w:rFonts w:hint="eastAsia" w:ascii="宋体" w:hAnsi="宋体" w:cs="宋体"/>
                <w:sz w:val="24"/>
                <w:szCs w:val="24"/>
              </w:rPr>
              <w:t>6</w:t>
            </w:r>
          </w:p>
        </w:tc>
        <w:tc>
          <w:tcPr>
            <w:tcW w:w="5186" w:type="dxa"/>
          </w:tcPr>
          <w:p>
            <w:pPr>
              <w:pStyle w:val="37"/>
              <w:widowControl w:val="0"/>
              <w:ind w:firstLine="0" w:firstLineChars="0"/>
              <w:jc w:val="left"/>
              <w:rPr>
                <w:rFonts w:ascii="宋体" w:hAnsi="宋体" w:cs="宋体"/>
                <w:sz w:val="24"/>
                <w:szCs w:val="24"/>
              </w:rPr>
            </w:pPr>
            <w:r>
              <w:rPr>
                <w:rFonts w:hint="eastAsia" w:ascii="宋体" w:hAnsi="宋体" w:cs="宋体"/>
                <w:sz w:val="24"/>
                <w:szCs w:val="24"/>
              </w:rPr>
              <w:t>原存储扩充硬盘</w:t>
            </w:r>
          </w:p>
        </w:tc>
        <w:tc>
          <w:tcPr>
            <w:tcW w:w="1051" w:type="dxa"/>
          </w:tcPr>
          <w:p>
            <w:pPr>
              <w:pStyle w:val="37"/>
              <w:widowControl w:val="0"/>
              <w:ind w:firstLine="0" w:firstLineChars="0"/>
              <w:jc w:val="center"/>
              <w:rPr>
                <w:rFonts w:ascii="宋体" w:hAnsi="宋体" w:cs="宋体"/>
                <w:sz w:val="24"/>
                <w:szCs w:val="24"/>
              </w:rPr>
            </w:pPr>
            <w:r>
              <w:rPr>
                <w:rFonts w:hint="eastAsia" w:ascii="宋体" w:hAnsi="宋体" w:cs="宋体"/>
                <w:sz w:val="24"/>
                <w:szCs w:val="24"/>
              </w:rPr>
              <w:t>块</w:t>
            </w:r>
          </w:p>
        </w:tc>
        <w:tc>
          <w:tcPr>
            <w:tcW w:w="1050" w:type="dxa"/>
          </w:tcPr>
          <w:p>
            <w:pPr>
              <w:pStyle w:val="37"/>
              <w:widowControl w:val="0"/>
              <w:ind w:firstLine="0" w:firstLineChars="0"/>
              <w:jc w:val="center"/>
              <w:rPr>
                <w:rFonts w:ascii="宋体" w:hAnsi="宋体" w:cs="宋体"/>
                <w:sz w:val="24"/>
                <w:szCs w:val="24"/>
              </w:rPr>
            </w:pPr>
            <w:r>
              <w:rPr>
                <w:rFonts w:hint="eastAsia" w:ascii="宋体" w:hAnsi="宋体" w:cs="宋体"/>
                <w:sz w:val="24"/>
                <w:szCs w:val="24"/>
              </w:rPr>
              <w:t>1</w:t>
            </w:r>
            <w:r>
              <w:rPr>
                <w:rFonts w:ascii="宋体" w:hAnsi="宋体" w:cs="宋体"/>
                <w:sz w:val="24"/>
                <w:szCs w:val="24"/>
              </w:rPr>
              <w:t>2</w:t>
            </w:r>
          </w:p>
        </w:tc>
      </w:tr>
    </w:tbl>
    <w:p>
      <w:pPr>
        <w:pStyle w:val="37"/>
        <w:widowControl w:val="0"/>
        <w:ind w:firstLine="0" w:firstLineChars="0"/>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备注：按分项报价</w:t>
      </w:r>
    </w:p>
    <w:p>
      <w:pPr>
        <w:pStyle w:val="3"/>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4.</w:t>
      </w:r>
      <w:r>
        <w:rPr>
          <w:rFonts w:hint="eastAsia"/>
          <w:color w:val="000000" w:themeColor="text1"/>
          <w:sz w:val="32"/>
          <w:szCs w:val="32"/>
          <w14:textFill>
            <w14:solidFill>
              <w14:schemeClr w14:val="tx1"/>
            </w14:solidFill>
          </w14:textFill>
        </w:rPr>
        <w:t>★整体技术要求</w:t>
      </w:r>
    </w:p>
    <w:p>
      <w:pPr>
        <w:pStyle w:val="16"/>
        <w:spacing w:line="360" w:lineRule="auto"/>
        <w:ind w:left="244" w:firstLine="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采用分布式存储，存储裸空间≥216TB以上，可用空间≥10</w:t>
      </w:r>
      <w:r>
        <w:rPr>
          <w:rFonts w:ascii="宋体" w:hAnsi="宋体"/>
          <w:color w:val="000000" w:themeColor="text1"/>
          <w:sz w:val="24"/>
          <w:szCs w:val="24"/>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TB，双副本。</w:t>
      </w:r>
    </w:p>
    <w:p>
      <w:pPr>
        <w:pStyle w:val="16"/>
        <w:spacing w:line="360" w:lineRule="auto"/>
        <w:ind w:left="244" w:firstLine="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整个系统构架在Linux上，保证高可靠安全；</w:t>
      </w:r>
    </w:p>
    <w:p>
      <w:pPr>
        <w:pStyle w:val="16"/>
        <w:spacing w:line="360" w:lineRule="auto"/>
        <w:ind w:left="244" w:firstLine="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4.3</w:t>
      </w:r>
      <w:r>
        <w:rPr>
          <w:rFonts w:hint="eastAsia" w:ascii="宋体" w:hAnsi="宋体"/>
          <w:color w:val="000000" w:themeColor="text1"/>
          <w:sz w:val="24"/>
          <w:szCs w:val="24"/>
          <w14:textFill>
            <w14:solidFill>
              <w14:schemeClr w14:val="tx1"/>
            </w14:solidFill>
          </w14:textFill>
        </w:rPr>
        <w:t>统一的存储管理配置平台，更好的保障日后的运行维护工作；</w:t>
      </w:r>
    </w:p>
    <w:p>
      <w:pPr>
        <w:pStyle w:val="16"/>
        <w:spacing w:line="360" w:lineRule="auto"/>
        <w:ind w:left="244" w:firstLine="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4.4</w:t>
      </w:r>
      <w:r>
        <w:rPr>
          <w:rFonts w:hint="eastAsia" w:ascii="宋体" w:hAnsi="宋体"/>
          <w:color w:val="000000" w:themeColor="text1"/>
          <w:sz w:val="24"/>
          <w:szCs w:val="24"/>
          <w14:textFill>
            <w14:solidFill>
              <w14:schemeClr w14:val="tx1"/>
            </w14:solidFill>
          </w14:textFill>
        </w:rPr>
        <w:t>满足后期存储扩容方便，扩容直接在线扩容，不影响在线业务使用；</w:t>
      </w:r>
    </w:p>
    <w:p>
      <w:pPr>
        <w:pStyle w:val="16"/>
        <w:spacing w:line="360" w:lineRule="auto"/>
        <w:ind w:left="244" w:firstLine="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4.5配</w:t>
      </w:r>
      <w:r>
        <w:rPr>
          <w:rFonts w:hint="eastAsia" w:ascii="宋体" w:hAnsi="宋体"/>
          <w:color w:val="000000" w:themeColor="text1"/>
          <w:sz w:val="24"/>
          <w:szCs w:val="24"/>
          <w14:textFill>
            <w14:solidFill>
              <w14:schemeClr w14:val="tx1"/>
            </w14:solidFill>
          </w14:textFill>
        </w:rPr>
        <w:t>双系统方案，当一个盘的操作系统故障时，可实时切换到备用存储操作系统上，保障业务的连续性；</w:t>
      </w:r>
    </w:p>
    <w:p>
      <w:pPr>
        <w:pStyle w:val="16"/>
        <w:spacing w:line="360" w:lineRule="auto"/>
        <w:ind w:left="244" w:firstLine="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4.6</w:t>
      </w:r>
      <w:r>
        <w:rPr>
          <w:rFonts w:hint="eastAsia" w:ascii="宋体" w:hAnsi="宋体"/>
          <w:color w:val="000000" w:themeColor="text1"/>
          <w:sz w:val="24"/>
          <w:szCs w:val="24"/>
          <w14:textFill>
            <w14:solidFill>
              <w14:schemeClr w14:val="tx1"/>
            </w14:solidFill>
          </w14:textFill>
        </w:rPr>
        <w:t>图形化管理配置平台，保障日后的运行维护工作效率。</w:t>
      </w:r>
    </w:p>
    <w:p>
      <w:pPr>
        <w:pStyle w:val="16"/>
        <w:spacing w:line="360" w:lineRule="auto"/>
        <w:ind w:left="244" w:firstLine="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数据迁移服务：必须满足在不影响现有业务系统正常运行情况下数据的完整迁移；（提供承诺函加盖鲜章）；</w:t>
      </w:r>
    </w:p>
    <w:p>
      <w:pPr>
        <w:pStyle w:val="3"/>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5</w:t>
      </w:r>
      <w:r>
        <w:rPr>
          <w:color w:val="000000" w:themeColor="text1"/>
          <w:sz w:val="32"/>
          <w:szCs w:val="32"/>
          <w14:textFill>
            <w14:solidFill>
              <w14:schemeClr w14:val="tx1"/>
            </w14:solidFill>
          </w14:textFill>
        </w:rPr>
        <w:t>.</w:t>
      </w:r>
      <w:r>
        <w:rPr>
          <w:rFonts w:hint="eastAsia"/>
          <w:color w:val="000000" w:themeColor="text1"/>
          <w:sz w:val="32"/>
          <w:szCs w:val="32"/>
          <w14:textFill>
            <w14:solidFill>
              <w14:schemeClr w14:val="tx1"/>
            </w14:solidFill>
          </w14:textFill>
        </w:rPr>
        <w:t>详细技术要求</w:t>
      </w:r>
    </w:p>
    <w:p>
      <w:pPr>
        <w:ind w:firstLine="240" w:firstLineChars="100"/>
        <w:rPr>
          <w:rFonts w:ascii="宋体" w:hAnsi="宋体" w:eastAsia="宋体" w:cs="宋体"/>
          <w:sz w:val="24"/>
        </w:rPr>
      </w:pPr>
      <w:r>
        <w:rPr>
          <w:rFonts w:hint="eastAsia" w:ascii="宋体" w:hAnsi="宋体" w:eastAsia="宋体" w:cs="宋体"/>
          <w:sz w:val="24"/>
        </w:rPr>
        <w:t>根据此次建设的目标及需求，对技术参数做出如下规定：</w:t>
      </w:r>
    </w:p>
    <w:p>
      <w:pPr>
        <w:rPr>
          <w:rFonts w:ascii="宋体" w:hAnsi="宋体" w:eastAsia="宋体" w:cs="宋体"/>
          <w:sz w:val="24"/>
        </w:rPr>
      </w:pPr>
      <w:r>
        <w:rPr>
          <w:rFonts w:ascii="宋体" w:hAnsi="宋体" w:eastAsia="宋体" w:cs="宋体"/>
          <w:sz w:val="24"/>
        </w:rPr>
        <w:t>5.1</w:t>
      </w:r>
      <w:r>
        <w:rPr>
          <w:rFonts w:hint="eastAsia" w:ascii="宋体" w:hAnsi="宋体" w:eastAsia="宋体" w:cs="宋体"/>
          <w:sz w:val="24"/>
        </w:rPr>
        <w:t>整体技术参数不满足数≥10条，视为不能满足建设需求；</w:t>
      </w:r>
    </w:p>
    <w:p>
      <w:pPr>
        <w:rPr>
          <w:rFonts w:ascii="宋体" w:hAnsi="宋体" w:eastAsia="宋体" w:cs="宋体"/>
          <w:sz w:val="24"/>
        </w:rPr>
      </w:pPr>
      <w:r>
        <w:rPr>
          <w:rFonts w:ascii="宋体" w:hAnsi="宋体" w:eastAsia="宋体" w:cs="宋体"/>
          <w:sz w:val="24"/>
        </w:rPr>
        <w:t>5.2</w:t>
      </w:r>
      <w:r>
        <w:rPr>
          <w:rFonts w:hint="eastAsia" w:ascii="宋体" w:hAnsi="宋体" w:eastAsia="宋体" w:cs="宋体"/>
          <w:sz w:val="24"/>
        </w:rPr>
        <w:t>要求提供系统截图（证明资料）并加盖公章的条款，如没有提供相应的资料，视为无效响应；</w:t>
      </w:r>
    </w:p>
    <w:p>
      <w:pPr>
        <w:pStyle w:val="2"/>
        <w:rPr>
          <w:rFonts w:ascii="宋体" w:hAnsi="宋体" w:eastAsia="宋体" w:cs="宋体"/>
          <w:sz w:val="24"/>
        </w:rPr>
      </w:pPr>
      <w:r>
        <w:rPr>
          <w:rFonts w:ascii="宋体" w:hAnsi="宋体" w:eastAsia="宋体" w:cs="宋体"/>
          <w:sz w:val="24"/>
        </w:rPr>
        <w:t>5.3</w:t>
      </w:r>
      <w:r>
        <w:rPr>
          <w:rFonts w:hint="eastAsia" w:ascii="宋体" w:hAnsi="宋体" w:eastAsia="宋体" w:cs="宋体"/>
          <w:sz w:val="24"/>
        </w:rPr>
        <w:t>带★号为实质性要求。</w:t>
      </w:r>
    </w:p>
    <w:p>
      <w:pPr>
        <w:pStyle w:val="16"/>
        <w:spacing w:line="360" w:lineRule="auto"/>
        <w:ind w:firstLine="0"/>
        <w:rPr>
          <w:rFonts w:hint="eastAsia" w:ascii="宋体" w:hAnsi="宋体"/>
          <w:color w:val="000000" w:themeColor="text1"/>
          <w:sz w:val="24"/>
          <w:szCs w:val="24"/>
          <w14:textFill>
            <w14:solidFill>
              <w14:schemeClr w14:val="tx1"/>
            </w14:solidFill>
          </w14:textFill>
        </w:rPr>
      </w:pPr>
    </w:p>
    <w:tbl>
      <w:tblPr>
        <w:tblStyle w:val="17"/>
        <w:tblW w:w="8204" w:type="dxa"/>
        <w:tblInd w:w="0" w:type="dxa"/>
        <w:tblLayout w:type="fixed"/>
        <w:tblCellMar>
          <w:top w:w="0" w:type="dxa"/>
          <w:left w:w="108" w:type="dxa"/>
          <w:bottom w:w="0" w:type="dxa"/>
          <w:right w:w="108" w:type="dxa"/>
        </w:tblCellMar>
      </w:tblPr>
      <w:tblGrid>
        <w:gridCol w:w="651"/>
        <w:gridCol w:w="665"/>
        <w:gridCol w:w="5635"/>
        <w:gridCol w:w="525"/>
        <w:gridCol w:w="728"/>
      </w:tblGrid>
      <w:tr>
        <w:tblPrEx>
          <w:tblLayout w:type="fixed"/>
          <w:tblCellMar>
            <w:top w:w="0" w:type="dxa"/>
            <w:left w:w="108" w:type="dxa"/>
            <w:bottom w:w="0" w:type="dxa"/>
            <w:right w:w="108" w:type="dxa"/>
          </w:tblCellMar>
        </w:tblPrEx>
        <w:trPr>
          <w:trHeight w:val="435" w:hRule="atLeast"/>
        </w:trPr>
        <w:tc>
          <w:tcPr>
            <w:tcW w:w="651" w:type="dxa"/>
            <w:tcBorders>
              <w:top w:val="single" w:color="auto" w:sz="4" w:space="0"/>
              <w:left w:val="single" w:color="auto" w:sz="4" w:space="0"/>
              <w:bottom w:val="single" w:color="auto" w:sz="4" w:space="0"/>
              <w:right w:val="single" w:color="auto" w:sz="4" w:space="0"/>
            </w:tcBorders>
            <w:shd w:val="clear" w:color="000000" w:fill="99CCFF"/>
            <w:vAlign w:val="center"/>
          </w:tcPr>
          <w:p>
            <w:pPr>
              <w:spacing w:line="360" w:lineRule="auto"/>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产品名称</w:t>
            </w:r>
          </w:p>
        </w:tc>
        <w:tc>
          <w:tcPr>
            <w:tcW w:w="665" w:type="dxa"/>
            <w:tcBorders>
              <w:top w:val="single" w:color="auto" w:sz="4" w:space="0"/>
              <w:left w:val="nil"/>
              <w:bottom w:val="single" w:color="auto" w:sz="4" w:space="0"/>
              <w:right w:val="single" w:color="auto" w:sz="4" w:space="0"/>
            </w:tcBorders>
            <w:shd w:val="clear" w:color="000000" w:fill="99CCFF"/>
            <w:vAlign w:val="center"/>
          </w:tcPr>
          <w:p>
            <w:pPr>
              <w:spacing w:line="360" w:lineRule="auto"/>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数量</w:t>
            </w:r>
          </w:p>
        </w:tc>
        <w:tc>
          <w:tcPr>
            <w:tcW w:w="5635" w:type="dxa"/>
            <w:tcBorders>
              <w:top w:val="single" w:color="auto" w:sz="4" w:space="0"/>
              <w:left w:val="nil"/>
              <w:bottom w:val="single" w:color="auto" w:sz="4" w:space="0"/>
              <w:right w:val="single" w:color="auto" w:sz="4" w:space="0"/>
            </w:tcBorders>
            <w:shd w:val="clear" w:color="000000" w:fill="99CCFF"/>
            <w:vAlign w:val="center"/>
          </w:tcPr>
          <w:p>
            <w:pPr>
              <w:spacing w:line="360" w:lineRule="auto"/>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技术参数</w:t>
            </w:r>
          </w:p>
        </w:tc>
        <w:tc>
          <w:tcPr>
            <w:tcW w:w="525" w:type="dxa"/>
            <w:tcBorders>
              <w:top w:val="single" w:color="auto" w:sz="4" w:space="0"/>
              <w:left w:val="nil"/>
              <w:bottom w:val="single" w:color="auto" w:sz="4" w:space="0"/>
              <w:right w:val="single" w:color="auto" w:sz="4" w:space="0"/>
            </w:tcBorders>
            <w:shd w:val="clear" w:color="000000" w:fill="99CCFF"/>
          </w:tcPr>
          <w:p>
            <w:pPr>
              <w:spacing w:line="360" w:lineRule="auto"/>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单位</w:t>
            </w:r>
          </w:p>
        </w:tc>
        <w:tc>
          <w:tcPr>
            <w:tcW w:w="728" w:type="dxa"/>
            <w:tcBorders>
              <w:top w:val="single" w:color="auto" w:sz="4" w:space="0"/>
              <w:left w:val="nil"/>
              <w:bottom w:val="single" w:color="auto" w:sz="4" w:space="0"/>
              <w:right w:val="single" w:color="auto" w:sz="4" w:space="0"/>
            </w:tcBorders>
            <w:shd w:val="clear" w:color="000000" w:fill="99CCFF"/>
          </w:tcPr>
          <w:p>
            <w:pPr>
              <w:spacing w:line="360" w:lineRule="auto"/>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售后服务</w:t>
            </w:r>
          </w:p>
        </w:tc>
      </w:tr>
      <w:tr>
        <w:tblPrEx>
          <w:tblLayout w:type="fixed"/>
          <w:tblCellMar>
            <w:top w:w="0" w:type="dxa"/>
            <w:left w:w="108" w:type="dxa"/>
            <w:bottom w:w="0" w:type="dxa"/>
            <w:right w:w="108" w:type="dxa"/>
          </w:tblCellMar>
        </w:tblPrEx>
        <w:trPr>
          <w:trHeight w:val="1550" w:hRule="atLeast"/>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存储服务器</w:t>
            </w:r>
          </w:p>
        </w:tc>
        <w:tc>
          <w:tcPr>
            <w:tcW w:w="665" w:type="dxa"/>
            <w:tcBorders>
              <w:top w:val="single" w:color="auto" w:sz="4" w:space="0"/>
              <w:left w:val="nil"/>
              <w:bottom w:val="single" w:color="auto" w:sz="4" w:space="0"/>
              <w:right w:val="single" w:color="auto" w:sz="4" w:space="0"/>
            </w:tcBorders>
            <w:shd w:val="clear" w:color="000000" w:fill="B7DEE8"/>
            <w:vAlign w:val="center"/>
          </w:tcPr>
          <w:p>
            <w:pPr>
              <w:spacing w:line="360" w:lineRule="auto"/>
              <w:jc w:val="center"/>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3</w:t>
            </w:r>
          </w:p>
        </w:tc>
        <w:tc>
          <w:tcPr>
            <w:tcW w:w="5635" w:type="dxa"/>
            <w:tcBorders>
              <w:top w:val="single" w:color="auto" w:sz="4" w:space="0"/>
              <w:left w:val="nil"/>
              <w:bottom w:val="single" w:color="auto" w:sz="4" w:space="0"/>
              <w:right w:val="single" w:color="auto" w:sz="4" w:space="0"/>
            </w:tcBorders>
            <w:shd w:val="clear" w:color="auto" w:fill="auto"/>
            <w:vAlign w:val="center"/>
          </w:tcPr>
          <w:p>
            <w:pPr>
              <w:pStyle w:val="28"/>
              <w:numPr>
                <w:ilvl w:val="0"/>
                <w:numId w:val="2"/>
              </w:numPr>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1.2</w:t>
            </w:r>
            <w:r>
              <w:rPr>
                <w:rFonts w:hint="eastAsia"/>
                <w:color w:val="000000" w:themeColor="text1"/>
                <w:sz w:val="21"/>
                <w:szCs w:val="21"/>
                <w14:textFill>
                  <w14:solidFill>
                    <w14:schemeClr w14:val="tx1"/>
                  </w14:solidFill>
                </w14:textFill>
              </w:rPr>
              <w:t>U机架服务器；原厂导轨套件</w:t>
            </w:r>
            <w:r>
              <w:rPr>
                <w:color w:val="000000" w:themeColor="text1"/>
                <w:sz w:val="21"/>
                <w:szCs w:val="21"/>
                <w14:textFill>
                  <w14:solidFill>
                    <w14:schemeClr w14:val="tx1"/>
                  </w14:solidFill>
                </w14:textFill>
              </w:rPr>
              <w:t>，</w:t>
            </w:r>
          </w:p>
          <w:p>
            <w:pPr>
              <w:pStyle w:val="28"/>
              <w:numPr>
                <w:ilvl w:val="0"/>
                <w:numId w:val="2"/>
              </w:numPr>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★CPU：不低于英特尔至强</w:t>
            </w:r>
            <w:r>
              <w:rPr>
                <w:color w:val="000000" w:themeColor="text1"/>
                <w:sz w:val="21"/>
                <w:szCs w:val="21"/>
                <w14:textFill>
                  <w14:solidFill>
                    <w14:schemeClr w14:val="tx1"/>
                  </w14:solidFill>
                </w14:textFill>
              </w:rPr>
              <w:t>4210</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10核心/20线程，2.2-3.2GHz，13.75M缓存</w:t>
            </w:r>
            <w:r>
              <w:rPr>
                <w:rFonts w:hint="eastAsia"/>
                <w:color w:val="000000" w:themeColor="text1"/>
                <w:sz w:val="21"/>
                <w:szCs w:val="21"/>
                <w14:textFill>
                  <w14:solidFill>
                    <w14:schemeClr w14:val="tx1"/>
                  </w14:solidFill>
                </w14:textFill>
              </w:rPr>
              <w:t>）处理器1颗</w:t>
            </w:r>
            <w:r>
              <w:rPr>
                <w:color w:val="000000" w:themeColor="text1"/>
                <w:sz w:val="21"/>
                <w:szCs w:val="21"/>
                <w14:textFill>
                  <w14:solidFill>
                    <w14:schemeClr w14:val="tx1"/>
                  </w14:solidFill>
                </w14:textFill>
              </w:rPr>
              <w:t>，</w:t>
            </w:r>
          </w:p>
          <w:p>
            <w:pPr>
              <w:pStyle w:val="28"/>
              <w:numPr>
                <w:ilvl w:val="0"/>
                <w:numId w:val="2"/>
              </w:numPr>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★配置≥</w:t>
            </w:r>
            <w:r>
              <w:rPr>
                <w:color w:val="000000" w:themeColor="text1"/>
                <w:sz w:val="21"/>
                <w:szCs w:val="21"/>
                <w14:textFill>
                  <w14:solidFill>
                    <w14:schemeClr w14:val="tx1"/>
                  </w14:solidFill>
                </w14:textFill>
              </w:rPr>
              <w:t xml:space="preserve">32G </w:t>
            </w:r>
            <w:r>
              <w:rPr>
                <w:rFonts w:hint="eastAsia"/>
                <w:color w:val="000000" w:themeColor="text1"/>
                <w:sz w:val="21"/>
                <w:szCs w:val="21"/>
                <w14:textFill>
                  <w14:solidFill>
                    <w14:schemeClr w14:val="tx1"/>
                  </w14:solidFill>
                </w14:textFill>
              </w:rPr>
              <w:t>DDR</w:t>
            </w:r>
            <w:r>
              <w:rPr>
                <w:color w:val="000000" w:themeColor="text1"/>
                <w:sz w:val="21"/>
                <w:szCs w:val="21"/>
                <w14:textFill>
                  <w14:solidFill>
                    <w14:schemeClr w14:val="tx1"/>
                  </w14:solidFill>
                </w14:textFill>
              </w:rPr>
              <w:t>4</w:t>
            </w:r>
            <w:r>
              <w:rPr>
                <w:rFonts w:hint="eastAsia"/>
                <w:color w:val="000000" w:themeColor="text1"/>
                <w:sz w:val="21"/>
                <w:szCs w:val="21"/>
                <w14:textFill>
                  <w14:solidFill>
                    <w14:schemeClr w14:val="tx1"/>
                  </w14:solidFill>
                </w14:textFill>
              </w:rPr>
              <w:t>，2</w:t>
            </w:r>
            <w:r>
              <w:rPr>
                <w:color w:val="000000" w:themeColor="text1"/>
                <w:sz w:val="21"/>
                <w:szCs w:val="21"/>
                <w14:textFill>
                  <w14:solidFill>
                    <w14:schemeClr w14:val="tx1"/>
                  </w14:solidFill>
                </w14:textFill>
              </w:rPr>
              <w:t>666</w:t>
            </w:r>
            <w:r>
              <w:rPr>
                <w:rFonts w:hint="eastAsia"/>
                <w:color w:val="000000" w:themeColor="text1"/>
                <w:sz w:val="21"/>
                <w:szCs w:val="21"/>
                <w14:textFill>
                  <w14:solidFill>
                    <w14:schemeClr w14:val="tx1"/>
                  </w14:solidFill>
                </w14:textFill>
              </w:rPr>
              <w:t>MHz</w:t>
            </w:r>
            <w:r>
              <w:rPr>
                <w:color w:val="000000" w:themeColor="text1"/>
                <w:sz w:val="21"/>
                <w:szCs w:val="21"/>
                <w14:textFill>
                  <w14:solidFill>
                    <w14:schemeClr w14:val="tx1"/>
                  </w14:solidFill>
                </w14:textFill>
              </w:rPr>
              <w:t>高速缓存（可扩展至512GB），12个可热插拔磁盘，支持SAS/SATA/SSD/NL-SAS磁盘</w:t>
            </w:r>
          </w:p>
          <w:p>
            <w:pPr>
              <w:pStyle w:val="28"/>
              <w:numPr>
                <w:ilvl w:val="0"/>
                <w:numId w:val="2"/>
              </w:numPr>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★系统盘配置≥</w:t>
            </w: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块企业级2</w:t>
            </w:r>
            <w:r>
              <w:rPr>
                <w:color w:val="000000" w:themeColor="text1"/>
                <w:sz w:val="21"/>
                <w:szCs w:val="21"/>
                <w14:textFill>
                  <w14:solidFill>
                    <w14:schemeClr w14:val="tx1"/>
                  </w14:solidFill>
                </w14:textFill>
              </w:rPr>
              <w:t xml:space="preserve">40GB </w:t>
            </w:r>
            <w:r>
              <w:rPr>
                <w:rFonts w:hint="eastAsia"/>
                <w:color w:val="000000" w:themeColor="text1"/>
                <w:sz w:val="21"/>
                <w:szCs w:val="21"/>
                <w14:textFill>
                  <w14:solidFill>
                    <w14:schemeClr w14:val="tx1"/>
                  </w14:solidFill>
                </w14:textFill>
              </w:rPr>
              <w:t>SSD</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 xml:space="preserve">SATA接口 </w:t>
            </w:r>
            <w:r>
              <w:rPr>
                <w:color w:val="000000" w:themeColor="text1"/>
                <w:sz w:val="21"/>
                <w:szCs w:val="21"/>
                <w14:textFill>
                  <w14:solidFill>
                    <w14:schemeClr w14:val="tx1"/>
                  </w14:solidFill>
                </w14:textFill>
              </w:rPr>
              <w:t>6</w:t>
            </w:r>
            <w:r>
              <w:rPr>
                <w:rFonts w:hint="eastAsia"/>
                <w:color w:val="000000" w:themeColor="text1"/>
                <w:sz w:val="21"/>
                <w:szCs w:val="21"/>
                <w14:textFill>
                  <w14:solidFill>
                    <w14:schemeClr w14:val="tx1"/>
                  </w14:solidFill>
                </w14:textFill>
              </w:rPr>
              <w:t>Gb/s，</w:t>
            </w:r>
            <w:r>
              <w:rPr>
                <w:color w:val="000000" w:themeColor="text1"/>
                <w:sz w:val="21"/>
                <w:szCs w:val="21"/>
                <w14:textFill>
                  <w14:solidFill>
                    <w14:schemeClr w14:val="tx1"/>
                  </w14:solidFill>
                </w14:textFill>
              </w:rPr>
              <w:t>元数据</w:t>
            </w:r>
            <w:r>
              <w:rPr>
                <w:rFonts w:hint="eastAsia"/>
                <w:color w:val="000000" w:themeColor="text1"/>
                <w:sz w:val="21"/>
                <w:szCs w:val="21"/>
                <w14:textFill>
                  <w14:solidFill>
                    <w14:schemeClr w14:val="tx1"/>
                  </w14:solidFill>
                </w14:textFill>
              </w:rPr>
              <w:t>盘配置≥</w:t>
            </w: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块企业级2</w:t>
            </w:r>
            <w:r>
              <w:rPr>
                <w:color w:val="000000" w:themeColor="text1"/>
                <w:sz w:val="21"/>
                <w:szCs w:val="21"/>
                <w14:textFill>
                  <w14:solidFill>
                    <w14:schemeClr w14:val="tx1"/>
                  </w14:solidFill>
                </w14:textFill>
              </w:rPr>
              <w:t xml:space="preserve">40GB </w:t>
            </w:r>
            <w:r>
              <w:rPr>
                <w:rFonts w:hint="eastAsia"/>
                <w:color w:val="000000" w:themeColor="text1"/>
                <w:sz w:val="21"/>
                <w:szCs w:val="21"/>
                <w14:textFill>
                  <w14:solidFill>
                    <w14:schemeClr w14:val="tx1"/>
                  </w14:solidFill>
                </w14:textFill>
              </w:rPr>
              <w:t>SSD</w:t>
            </w:r>
            <w:r>
              <w:rPr>
                <w:color w:val="000000" w:themeColor="text1"/>
                <w:sz w:val="21"/>
                <w:szCs w:val="21"/>
                <w14:textFill>
                  <w14:solidFill>
                    <w14:schemeClr w14:val="tx1"/>
                  </w14:solidFill>
                </w14:textFill>
              </w:rPr>
              <w:t>，数据</w:t>
            </w:r>
            <w:r>
              <w:rPr>
                <w:rFonts w:hint="eastAsia"/>
                <w:color w:val="000000" w:themeColor="text1"/>
                <w:sz w:val="21"/>
                <w:szCs w:val="21"/>
                <w14:textFill>
                  <w14:solidFill>
                    <w14:schemeClr w14:val="tx1"/>
                  </w14:solidFill>
                </w14:textFill>
              </w:rPr>
              <w:t>盘配置≥</w:t>
            </w:r>
            <w:r>
              <w:rPr>
                <w:color w:val="000000" w:themeColor="text1"/>
                <w:sz w:val="21"/>
                <w:szCs w:val="21"/>
                <w14:textFill>
                  <w14:solidFill>
                    <w14:schemeClr w14:val="tx1"/>
                  </w14:solidFill>
                </w14:textFill>
              </w:rPr>
              <w:t>13</w:t>
            </w:r>
            <w:r>
              <w:rPr>
                <w:rFonts w:hint="eastAsia"/>
                <w:color w:val="000000" w:themeColor="text1"/>
                <w:sz w:val="21"/>
                <w:szCs w:val="21"/>
                <w14:textFill>
                  <w14:solidFill>
                    <w14:schemeClr w14:val="tx1"/>
                  </w14:solidFill>
                </w14:textFill>
              </w:rPr>
              <w:t>块3</w:t>
            </w:r>
            <w:r>
              <w:rPr>
                <w:color w:val="000000" w:themeColor="text1"/>
                <w:sz w:val="21"/>
                <w:szCs w:val="21"/>
                <w14:textFill>
                  <w14:solidFill>
                    <w14:schemeClr w14:val="tx1"/>
                  </w14:solidFill>
                </w14:textFill>
              </w:rPr>
              <w:t>.5</w:t>
            </w:r>
            <w:r>
              <w:rPr>
                <w:rFonts w:hint="eastAsia"/>
                <w:color w:val="000000" w:themeColor="text1"/>
                <w:sz w:val="21"/>
                <w:szCs w:val="21"/>
                <w14:textFill>
                  <w14:solidFill>
                    <w14:schemeClr w14:val="tx1"/>
                  </w14:solidFill>
                </w14:textFill>
              </w:rPr>
              <w:t xml:space="preserve">寸 </w:t>
            </w:r>
            <w:r>
              <w:rPr>
                <w:color w:val="000000" w:themeColor="text1"/>
                <w:sz w:val="21"/>
                <w:szCs w:val="21"/>
                <w14:textFill>
                  <w14:solidFill>
                    <w14:schemeClr w14:val="tx1"/>
                  </w14:solidFill>
                </w14:textFill>
              </w:rPr>
              <w:t>6</w:t>
            </w:r>
            <w:r>
              <w:rPr>
                <w:rFonts w:hint="eastAsia"/>
                <w:color w:val="000000" w:themeColor="text1"/>
                <w:sz w:val="21"/>
                <w:szCs w:val="21"/>
                <w14:textFill>
                  <w14:solidFill>
                    <w14:schemeClr w14:val="tx1"/>
                  </w14:solidFill>
                </w14:textFill>
              </w:rPr>
              <w:t>TB</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 xml:space="preserve">企业级 SATA硬盘 </w:t>
            </w:r>
            <w:r>
              <w:rPr>
                <w:color w:val="000000" w:themeColor="text1"/>
                <w:sz w:val="21"/>
                <w:szCs w:val="21"/>
                <w14:textFill>
                  <w14:solidFill>
                    <w14:schemeClr w14:val="tx1"/>
                  </w14:solidFill>
                </w14:textFill>
              </w:rPr>
              <w:t>转速：7200rpm</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平均无故障时间：120万小时以上;</w:t>
            </w:r>
          </w:p>
          <w:p>
            <w:pPr>
              <w:pStyle w:val="28"/>
              <w:numPr>
                <w:ilvl w:val="0"/>
                <w:numId w:val="2"/>
              </w:numPr>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★自适应</w:t>
            </w:r>
            <w:r>
              <w:rPr>
                <w:color w:val="000000" w:themeColor="text1"/>
                <w:sz w:val="21"/>
                <w:szCs w:val="21"/>
                <w14:textFill>
                  <w14:solidFill>
                    <w14:schemeClr w14:val="tx1"/>
                  </w14:solidFill>
                </w14:textFill>
              </w:rPr>
              <w:t>1+1冗余电源，多冗余热交换PWM风扇</w:t>
            </w:r>
          </w:p>
          <w:p>
            <w:pPr>
              <w:pStyle w:val="28"/>
              <w:numPr>
                <w:ilvl w:val="0"/>
                <w:numId w:val="2"/>
              </w:numPr>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 ★配置≥</w:t>
            </w: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端口千兆网卡，≥2端口万兆网络子卡（含原厂万兆光纤模块），可选10GbE，25GbE，40GbE,100GbE网络卡</w:t>
            </w:r>
            <w:r>
              <w:rPr>
                <w:color w:val="000000" w:themeColor="text1"/>
                <w:sz w:val="21"/>
                <w:szCs w:val="21"/>
                <w14:textFill>
                  <w14:solidFill>
                    <w14:schemeClr w14:val="tx1"/>
                  </w14:solidFill>
                </w14:textFill>
              </w:rPr>
              <w:t>、支持网络接口聚合、故障冗余</w:t>
            </w:r>
          </w:p>
        </w:tc>
        <w:tc>
          <w:tcPr>
            <w:tcW w:w="525" w:type="dxa"/>
            <w:tcBorders>
              <w:top w:val="single" w:color="auto" w:sz="4" w:space="0"/>
              <w:left w:val="nil"/>
              <w:bottom w:val="single" w:color="auto" w:sz="4" w:space="0"/>
              <w:right w:val="single" w:color="auto" w:sz="4" w:space="0"/>
            </w:tcBorders>
          </w:tcPr>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台</w:t>
            </w:r>
          </w:p>
        </w:tc>
        <w:tc>
          <w:tcPr>
            <w:tcW w:w="728" w:type="dxa"/>
            <w:tcBorders>
              <w:top w:val="single" w:color="auto" w:sz="4" w:space="0"/>
              <w:left w:val="nil"/>
              <w:bottom w:val="single" w:color="auto" w:sz="4" w:space="0"/>
              <w:right w:val="single" w:color="auto" w:sz="4" w:space="0"/>
            </w:tcBorders>
          </w:tcPr>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三年质保及叁年运行维护</w:t>
            </w:r>
          </w:p>
        </w:tc>
      </w:tr>
      <w:tr>
        <w:tblPrEx>
          <w:tblLayout w:type="fixed"/>
          <w:tblCellMar>
            <w:top w:w="0" w:type="dxa"/>
            <w:left w:w="108" w:type="dxa"/>
            <w:bottom w:w="0" w:type="dxa"/>
            <w:right w:w="108" w:type="dxa"/>
          </w:tblCellMar>
        </w:tblPrEx>
        <w:trPr>
          <w:trHeight w:val="1550" w:hRule="atLeast"/>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分布式集群存储管理模块</w:t>
            </w:r>
          </w:p>
        </w:tc>
        <w:tc>
          <w:tcPr>
            <w:tcW w:w="665" w:type="dxa"/>
            <w:tcBorders>
              <w:top w:val="single" w:color="auto" w:sz="4" w:space="0"/>
              <w:left w:val="nil"/>
              <w:bottom w:val="single" w:color="auto" w:sz="4" w:space="0"/>
              <w:right w:val="single" w:color="auto" w:sz="4" w:space="0"/>
            </w:tcBorders>
            <w:shd w:val="clear" w:color="000000" w:fill="B7DEE8"/>
            <w:vAlign w:val="center"/>
          </w:tcPr>
          <w:p>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p>
        </w:tc>
        <w:tc>
          <w:tcPr>
            <w:tcW w:w="5635" w:type="dxa"/>
            <w:tcBorders>
              <w:top w:val="single" w:color="auto" w:sz="4" w:space="0"/>
              <w:left w:val="nil"/>
              <w:bottom w:val="single" w:color="auto" w:sz="4" w:space="0"/>
              <w:right w:val="single" w:color="auto" w:sz="4" w:space="0"/>
            </w:tcBorders>
            <w:shd w:val="clear" w:color="auto" w:fill="auto"/>
            <w:vAlign w:val="center"/>
          </w:tcPr>
          <w:p>
            <w:pPr>
              <w:pStyle w:val="28"/>
              <w:numPr>
                <w:ilvl w:val="0"/>
                <w:numId w:val="3"/>
              </w:numPr>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★分布式</w:t>
            </w:r>
            <w:r>
              <w:rPr>
                <w:color w:val="000000" w:themeColor="text1"/>
                <w:sz w:val="21"/>
                <w:szCs w:val="21"/>
                <w14:textFill>
                  <w14:solidFill>
                    <w14:schemeClr w14:val="tx1"/>
                  </w14:solidFill>
                </w14:textFill>
              </w:rPr>
              <w:t>存储方案；配置3个存储节点，6TB企业级硬盘，裸容量</w:t>
            </w:r>
            <w:r>
              <w:rPr>
                <w:rFonts w:hint="eastAsia"/>
                <w:color w:val="000000" w:themeColor="text1"/>
                <w:sz w:val="21"/>
                <w:szCs w:val="21"/>
                <w14:textFill>
                  <w14:solidFill>
                    <w14:schemeClr w14:val="tx1"/>
                  </w14:solidFill>
                </w14:textFill>
              </w:rPr>
              <w:t>不低于</w:t>
            </w:r>
            <w:r>
              <w:rPr>
                <w:color w:val="000000" w:themeColor="text1"/>
                <w:sz w:val="21"/>
                <w:szCs w:val="21"/>
                <w14:textFill>
                  <w14:solidFill>
                    <w14:schemeClr w14:val="tx1"/>
                  </w14:solidFill>
                </w14:textFill>
              </w:rPr>
              <w:t>216TB 存储做双副本冗余策略，实际可用容量为</w:t>
            </w:r>
            <w:r>
              <w:rPr>
                <w:rFonts w:hint="eastAsia"/>
                <w:color w:val="000000" w:themeColor="text1"/>
                <w:sz w:val="21"/>
                <w:szCs w:val="21"/>
                <w14:textFill>
                  <w14:solidFill>
                    <w14:schemeClr w14:val="tx1"/>
                  </w14:solidFill>
                </w14:textFill>
              </w:rPr>
              <w:t>不低于</w:t>
            </w:r>
            <w:r>
              <w:rPr>
                <w:color w:val="000000" w:themeColor="text1"/>
                <w:sz w:val="21"/>
                <w:szCs w:val="21"/>
                <w14:textFill>
                  <w14:solidFill>
                    <w14:schemeClr w14:val="tx1"/>
                  </w14:solidFill>
                </w14:textFill>
              </w:rPr>
              <w:t>12*6TB*3*/2=108TB的空间；</w:t>
            </w:r>
          </w:p>
          <w:p>
            <w:pPr>
              <w:pStyle w:val="28"/>
              <w:numPr>
                <w:ilvl w:val="0"/>
                <w:numId w:val="3"/>
              </w:numPr>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本项目提供的分布式分布式存储系统非OEM产品，拥有自主知识产权。提供相关证明材料并加盖公章</w:t>
            </w:r>
          </w:p>
          <w:p>
            <w:pPr>
              <w:pStyle w:val="28"/>
              <w:numPr>
                <w:ilvl w:val="0"/>
                <w:numId w:val="3"/>
              </w:numPr>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分布式集群需提供统一存储功能，能够同时提供文件系统、卷、对象存储服务，能够创建多个硬盘组与存储池，用于不同场景，需提供证明</w:t>
            </w:r>
            <w:r>
              <w:rPr>
                <w:rFonts w:hint="eastAsia"/>
                <w:color w:val="000000" w:themeColor="text1"/>
                <w:sz w:val="21"/>
                <w:szCs w:val="21"/>
                <w14:textFill>
                  <w14:solidFill>
                    <w14:schemeClr w14:val="tx1"/>
                  </w14:solidFill>
                </w14:textFill>
              </w:rPr>
              <w:t>资料并加盖公章</w:t>
            </w:r>
            <w:r>
              <w:rPr>
                <w:color w:val="000000" w:themeColor="text1"/>
                <w:sz w:val="21"/>
                <w:szCs w:val="21"/>
                <w14:textFill>
                  <w14:solidFill>
                    <w14:schemeClr w14:val="tx1"/>
                  </w14:solidFill>
                </w14:textFill>
              </w:rPr>
              <w:t>。</w:t>
            </w:r>
          </w:p>
          <w:p>
            <w:pPr>
              <w:pStyle w:val="28"/>
              <w:numPr>
                <w:ilvl w:val="0"/>
                <w:numId w:val="3"/>
              </w:numPr>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分布式集群存储可支持不少于6种安全级别控制。包括但不限于：存储盘、主机、主机组、机架、机房、数据中心。</w:t>
            </w:r>
          </w:p>
          <w:p>
            <w:pPr>
              <w:pStyle w:val="28"/>
              <w:numPr>
                <w:ilvl w:val="0"/>
                <w:numId w:val="3"/>
              </w:numPr>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分布式集群存储需支持不同故障域下的副本模式和网络纠删码模式数据冗余，支持N+M网络纠删码，M支持1-6；在同一命名空间下，文件系统中不同的文件夹可配置不同存储池，子目录可与父目录配置不同存储池，存储池可设置不同冗余策略（如针对不同文件夹设置纠删码及副本安全策略），且可无缝实现在线变更。</w:t>
            </w:r>
          </w:p>
          <w:p>
            <w:pPr>
              <w:pStyle w:val="28"/>
              <w:numPr>
                <w:ilvl w:val="0"/>
                <w:numId w:val="3"/>
              </w:numPr>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分布式集群存储需支持存储池、文件夹、用户、用户组四种维度的容量配额以及文件数量的配额管理，支持只读、读写、读写删、超级等细粒度权限管理</w:t>
            </w:r>
            <w:r>
              <w:rPr>
                <w:rFonts w:hint="eastAsia"/>
                <w:color w:val="000000" w:themeColor="text1"/>
                <w:sz w:val="21"/>
                <w:szCs w:val="21"/>
                <w14:textFill>
                  <w14:solidFill>
                    <w14:schemeClr w14:val="tx1"/>
                  </w14:solidFill>
                </w14:textFill>
              </w:rPr>
              <w:t>。</w:t>
            </w:r>
          </w:p>
          <w:p>
            <w:pPr>
              <w:pStyle w:val="28"/>
              <w:numPr>
                <w:ilvl w:val="0"/>
                <w:numId w:val="3"/>
              </w:numPr>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分布式集群存储需支持文件过滤，可以设定黑白名单禁止指定格式类型的文件和指定文件名含关键字的文件上传。</w:t>
            </w:r>
          </w:p>
          <w:p>
            <w:pPr>
              <w:pStyle w:val="28"/>
              <w:numPr>
                <w:ilvl w:val="0"/>
                <w:numId w:val="3"/>
              </w:numPr>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分布式集群文件存储需具备防止数据误删除的回收站功能，回收站功能可以设置过滤类型，支持对回收站中文件的恢复、删除、拷贝等操作。需提供软件功能截图</w:t>
            </w:r>
            <w:r>
              <w:rPr>
                <w:rFonts w:hint="eastAsia"/>
                <w:color w:val="000000" w:themeColor="text1"/>
                <w:sz w:val="21"/>
                <w:szCs w:val="21"/>
                <w14:textFill>
                  <w14:solidFill>
                    <w14:schemeClr w14:val="tx1"/>
                  </w14:solidFill>
                </w14:textFill>
              </w:rPr>
              <w:t>并加盖公章。</w:t>
            </w:r>
          </w:p>
          <w:p>
            <w:pPr>
              <w:pStyle w:val="28"/>
              <w:numPr>
                <w:ilvl w:val="0"/>
                <w:numId w:val="3"/>
              </w:numPr>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分布式集群应具备云复制及灾难恢复功能，支持数据迁移和数据灾难恢复功能，可提供基于策略的数据复制备份和恢复功能。</w:t>
            </w:r>
          </w:p>
          <w:p>
            <w:pPr>
              <w:pStyle w:val="28"/>
              <w:numPr>
                <w:ilvl w:val="0"/>
                <w:numId w:val="3"/>
              </w:numPr>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支持本地文件系统、远端文件系统（存储文件系统和 NFS 文件系统）、本地对象存储以及远端对象存储完全交叉同步。支持自定义同步策略：例如基于所有者、创建时间、修改时间、文件类型来过滤同步文件，提高同步精准度。</w:t>
            </w:r>
          </w:p>
          <w:p>
            <w:pPr>
              <w:pStyle w:val="28"/>
              <w:numPr>
                <w:ilvl w:val="0"/>
                <w:numId w:val="3"/>
              </w:numPr>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分布式集群存储可提供分布式iSCSI服务，iSCSI服务节点可以是集群中的任意一个或多个节点，可在线扩容或缩容iSCSI服务节点，查看服务节点详细信息、提供基于CHAP的安全性检测功能。</w:t>
            </w:r>
          </w:p>
          <w:p>
            <w:pPr>
              <w:pStyle w:val="28"/>
              <w:numPr>
                <w:ilvl w:val="0"/>
                <w:numId w:val="3"/>
              </w:numPr>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分布式集群存储需具备数据防篡改功能，可设置用户可读写修改不可以删除权限，内置有WORM防数据篡改保护工具软件，支持对CIFS共享开启WORM功能，可开启设置数据防篡改生效时间。提供软件功能截图</w:t>
            </w:r>
            <w:r>
              <w:rPr>
                <w:rFonts w:hint="eastAsia"/>
                <w:color w:val="000000" w:themeColor="text1"/>
                <w:sz w:val="21"/>
                <w:szCs w:val="21"/>
                <w14:textFill>
                  <w14:solidFill>
                    <w14:schemeClr w14:val="tx1"/>
                  </w14:solidFill>
                </w14:textFill>
              </w:rPr>
              <w:t>并加盖公章</w:t>
            </w:r>
            <w:r>
              <w:rPr>
                <w:color w:val="000000" w:themeColor="text1"/>
                <w:sz w:val="21"/>
                <w:szCs w:val="21"/>
                <w14:textFill>
                  <w14:solidFill>
                    <w14:schemeClr w14:val="tx1"/>
                  </w14:solidFill>
                </w14:textFill>
              </w:rPr>
              <w:t>。</w:t>
            </w:r>
          </w:p>
          <w:p>
            <w:pPr>
              <w:pStyle w:val="28"/>
              <w:numPr>
                <w:ilvl w:val="0"/>
                <w:numId w:val="3"/>
              </w:numPr>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本次提供的分布式集群存储需要对接第三方存储，将第三方存储空间挂载到分布式集群中进行统一管理和对外提供服务</w:t>
            </w:r>
          </w:p>
          <w:p>
            <w:pPr>
              <w:pStyle w:val="28"/>
              <w:numPr>
                <w:ilvl w:val="0"/>
                <w:numId w:val="3"/>
              </w:numPr>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分布式集群存储提供基于对象的检索引擎支持多种高级检索，支持模糊检索可以根据输入的文字进行模糊检索，列举出任意字词的对象文件。</w:t>
            </w:r>
          </w:p>
          <w:p>
            <w:pPr>
              <w:pStyle w:val="28"/>
              <w:numPr>
                <w:ilvl w:val="0"/>
                <w:numId w:val="3"/>
              </w:numPr>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分布式集群存储支持数据湖功能，数据湖支持通过元数据检索，可实现标签编目索引功能，通过内置搜索引擎进行内容检索，支持Word、PPT、Excel、pdf等文本格全文检索。</w:t>
            </w:r>
          </w:p>
          <w:p>
            <w:pPr>
              <w:pStyle w:val="28"/>
              <w:numPr>
                <w:ilvl w:val="0"/>
                <w:numId w:val="3"/>
              </w:numPr>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分布式集群存储支持数据湖功能，支持检索出现的视频格式文件可以进行在线预览</w:t>
            </w:r>
            <w:r>
              <w:rPr>
                <w:rFonts w:hint="eastAsia"/>
                <w:color w:val="000000" w:themeColor="text1"/>
                <w:sz w:val="21"/>
                <w:szCs w:val="21"/>
                <w14:textFill>
                  <w14:solidFill>
                    <w14:schemeClr w14:val="tx1"/>
                  </w14:solidFill>
                </w14:textFill>
              </w:rPr>
              <w:t>。</w:t>
            </w:r>
          </w:p>
          <w:p>
            <w:pPr>
              <w:pStyle w:val="28"/>
              <w:numPr>
                <w:ilvl w:val="0"/>
                <w:numId w:val="3"/>
              </w:numPr>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分布式集群可对桶和对象级别细粒度的权限管理功能，并可实时编辑单个对象的元数据、支持为桶中的所有对象导入多层级的元数据模板。</w:t>
            </w:r>
          </w:p>
          <w:p>
            <w:pPr>
              <w:pStyle w:val="28"/>
              <w:numPr>
                <w:ilvl w:val="0"/>
                <w:numId w:val="3"/>
              </w:numPr>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分布式集群文件系统存储和对象存储可支持操作日志审计，以便在各类问题出现时可以从多个维度寻寻找原因。</w:t>
            </w:r>
          </w:p>
          <w:p>
            <w:pPr>
              <w:pStyle w:val="28"/>
              <w:numPr>
                <w:ilvl w:val="0"/>
                <w:numId w:val="3"/>
              </w:numPr>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为保证本项目存储产品性能，所投存储系列产品需经过SPEC（标准性能评估组织）评估检测，并在SPEC官方网站www.spec.org可查询到测试结果。</w:t>
            </w:r>
          </w:p>
          <w:p>
            <w:pPr>
              <w:pStyle w:val="28"/>
              <w:numPr>
                <w:ilvl w:val="0"/>
                <w:numId w:val="3"/>
              </w:numPr>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所有分布式集群存储节点都可同时在线提供服务，实现各节点自动的负载均衡，DNS服务可支持轮询、CPU使用率、节点连接数等指标进行个节点负载均衡分配，</w:t>
            </w:r>
          </w:p>
          <w:p>
            <w:pPr>
              <w:pStyle w:val="28"/>
              <w:numPr>
                <w:ilvl w:val="0"/>
                <w:numId w:val="3"/>
              </w:numPr>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分布式集群存储可根据不同的业务场景需求，对数据迁移和恢复的速度进行控制，提供至少三挡速率控制选项。</w:t>
            </w:r>
          </w:p>
          <w:p>
            <w:pPr>
              <w:pStyle w:val="28"/>
              <w:numPr>
                <w:ilvl w:val="0"/>
                <w:numId w:val="3"/>
              </w:numPr>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存储提供多种共享协议，包含CIFS/SMB、NFS、AFP、FTP 和WebDAV 等，提供的CIFS和WebDVA协议数据加密传输，提供业务安全性</w:t>
            </w:r>
            <w:r>
              <w:rPr>
                <w:rFonts w:hint="eastAsia"/>
                <w:color w:val="000000" w:themeColor="text1"/>
                <w:sz w:val="21"/>
                <w:szCs w:val="21"/>
                <w14:textFill>
                  <w14:solidFill>
                    <w14:schemeClr w14:val="tx1"/>
                  </w14:solidFill>
                </w14:textFill>
              </w:rPr>
              <w:t>。</w:t>
            </w:r>
          </w:p>
          <w:p>
            <w:pPr>
              <w:pStyle w:val="28"/>
              <w:numPr>
                <w:ilvl w:val="0"/>
                <w:numId w:val="3"/>
              </w:numPr>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存储自带读写策略，可以指定时间段，在所设置的时间段内，用户仅只能对文件进行读操作，无法写入删除，提高数据安全。</w:t>
            </w:r>
          </w:p>
          <w:p>
            <w:pPr>
              <w:pStyle w:val="28"/>
              <w:numPr>
                <w:ilvl w:val="0"/>
                <w:numId w:val="3"/>
              </w:numPr>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分布式集群存储需支持部署CS客户端，通过客户端可自动挂载快速访问存储设备，客户端提供素材检索收集功能</w:t>
            </w:r>
            <w:r>
              <w:rPr>
                <w:rFonts w:hint="eastAsia"/>
                <w:color w:val="000000" w:themeColor="text1"/>
                <w:sz w:val="21"/>
                <w:szCs w:val="21"/>
                <w14:textFill>
                  <w14:solidFill>
                    <w14:schemeClr w14:val="tx1"/>
                  </w14:solidFill>
                </w14:textFill>
              </w:rPr>
              <w:t>。</w:t>
            </w:r>
          </w:p>
          <w:p>
            <w:pPr>
              <w:pStyle w:val="28"/>
              <w:numPr>
                <w:ilvl w:val="0"/>
                <w:numId w:val="3"/>
              </w:numPr>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分布式存储支持客户端手动上传文件、自动数据同步、API对接等上传手段。并可按照规则进行过滤分离和数据同步</w:t>
            </w:r>
            <w:r>
              <w:rPr>
                <w:rFonts w:hint="eastAsia"/>
                <w:color w:val="000000" w:themeColor="text1"/>
                <w:sz w:val="21"/>
                <w:szCs w:val="21"/>
                <w14:textFill>
                  <w14:solidFill>
                    <w14:schemeClr w14:val="tx1"/>
                  </w14:solidFill>
                </w14:textFill>
              </w:rPr>
              <w:t>。</w:t>
            </w:r>
          </w:p>
          <w:p>
            <w:pPr>
              <w:pStyle w:val="28"/>
              <w:numPr>
                <w:ilvl w:val="0"/>
                <w:numId w:val="3"/>
              </w:numPr>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分布式集群存储提供IPV4和IPV6两种网络部署方式，可以根据业务场景随时切换，该功能需提供软件功能截图</w:t>
            </w:r>
            <w:r>
              <w:rPr>
                <w:rFonts w:hint="eastAsia"/>
                <w:color w:val="000000" w:themeColor="text1"/>
                <w:sz w:val="21"/>
                <w:szCs w:val="21"/>
                <w14:textFill>
                  <w14:solidFill>
                    <w14:schemeClr w14:val="tx1"/>
                  </w14:solidFill>
                </w14:textFill>
              </w:rPr>
              <w:t>并加盖公章</w:t>
            </w:r>
            <w:r>
              <w:rPr>
                <w:color w:val="000000" w:themeColor="text1"/>
                <w:sz w:val="21"/>
                <w:szCs w:val="21"/>
                <w14:textFill>
                  <w14:solidFill>
                    <w14:schemeClr w14:val="tx1"/>
                  </w14:solidFill>
                </w14:textFill>
              </w:rPr>
              <w:t>。</w:t>
            </w:r>
          </w:p>
          <w:p>
            <w:pPr>
              <w:pStyle w:val="28"/>
              <w:numPr>
                <w:ilvl w:val="0"/>
                <w:numId w:val="3"/>
              </w:numPr>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分布式集群存储仅允许指定目标IP访问：设置后，有权限的用户将仅能在该IP/段的主机上进行访问，提高访问安全性。提供功能截图</w:t>
            </w:r>
            <w:r>
              <w:rPr>
                <w:rFonts w:hint="eastAsia"/>
                <w:color w:val="000000" w:themeColor="text1"/>
                <w:sz w:val="21"/>
                <w:szCs w:val="21"/>
                <w14:textFill>
                  <w14:solidFill>
                    <w14:schemeClr w14:val="tx1"/>
                  </w14:solidFill>
                </w14:textFill>
              </w:rPr>
              <w:t>并加盖公章。</w:t>
            </w:r>
          </w:p>
          <w:p>
            <w:pPr>
              <w:pStyle w:val="28"/>
              <w:numPr>
                <w:ilvl w:val="0"/>
                <w:numId w:val="3"/>
              </w:numPr>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分布式集群存储自带读写策略，可以指定时间段，在所设置的时间段内，用户仅只能对文件进行读操作，无法写入删除，提高数据安全。</w:t>
            </w:r>
          </w:p>
          <w:p>
            <w:pPr>
              <w:pStyle w:val="28"/>
              <w:numPr>
                <w:ilvl w:val="0"/>
                <w:numId w:val="3"/>
              </w:numPr>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支持自定义防暴力破解策略，可灵活设置判定暴力登录的条件，如登录间隔、登录失败最大次数，也可调整暴力登录锁定用户的方式、锁定时长等参数。支持自定义密码策略，可通过设置密码长度、大小写字母数量、密码有效天数等来控制密码复杂度。</w:t>
            </w:r>
          </w:p>
          <w:p>
            <w:pPr>
              <w:pStyle w:val="28"/>
              <w:numPr>
                <w:ilvl w:val="0"/>
                <w:numId w:val="3"/>
              </w:numPr>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分布式存储支持Hadoop、HDFS、SPARK等大数据开源架构，为支持未来媒体业务应用的大数据服务做支撑，</w:t>
            </w:r>
            <w:r>
              <w:rPr>
                <w:rFonts w:hint="eastAsia"/>
                <w:color w:val="000000" w:themeColor="text1"/>
                <w:sz w:val="21"/>
                <w:szCs w:val="21"/>
                <w14:textFill>
                  <w14:solidFill>
                    <w14:schemeClr w14:val="tx1"/>
                  </w14:solidFill>
                </w14:textFill>
              </w:rPr>
              <w:t>需支持</w:t>
            </w:r>
            <w:r>
              <w:rPr>
                <w:color w:val="000000" w:themeColor="text1"/>
                <w:sz w:val="21"/>
                <w:szCs w:val="21"/>
                <w14:textFill>
                  <w14:solidFill>
                    <w14:schemeClr w14:val="tx1"/>
                  </w14:solidFill>
                </w14:textFill>
              </w:rPr>
              <w:t>数据融合、大数据计算分析、可视化数据大屏展示应用软件，可捷型BI平台实现数据的可视化的能力</w:t>
            </w:r>
          </w:p>
          <w:p>
            <w:pPr>
              <w:pStyle w:val="28"/>
              <w:numPr>
                <w:ilvl w:val="0"/>
                <w:numId w:val="3"/>
              </w:numPr>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分布式集群存储需对国产化硬件和操作系统予以支持，支持国产鲲鹏芯片、兆芯芯片、海光芯片。</w:t>
            </w:r>
          </w:p>
          <w:p>
            <w:pPr>
              <w:pStyle w:val="28"/>
              <w:numPr>
                <w:ilvl w:val="0"/>
                <w:numId w:val="3"/>
              </w:numPr>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为保证设备的品质和原厂可靠性服务，必须提供原厂针对此项目的授权函和提供购买日起三年</w:t>
            </w:r>
            <w:r>
              <w:rPr>
                <w:rFonts w:hint="eastAsia"/>
                <w:color w:val="000000" w:themeColor="text1"/>
                <w:sz w:val="21"/>
                <w:szCs w:val="21"/>
                <w14:textFill>
                  <w14:solidFill>
                    <w14:schemeClr w14:val="tx1"/>
                  </w14:solidFill>
                </w14:textFill>
              </w:rPr>
              <w:t>免费</w:t>
            </w:r>
            <w:r>
              <w:rPr>
                <w:color w:val="000000" w:themeColor="text1"/>
                <w:sz w:val="21"/>
                <w:szCs w:val="21"/>
                <w14:textFill>
                  <w14:solidFill>
                    <w14:schemeClr w14:val="tx1"/>
                  </w14:solidFill>
                </w14:textFill>
              </w:rPr>
              <w:t>服务</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售后服务承诺函原件并加盖公章。</w:t>
            </w:r>
          </w:p>
        </w:tc>
        <w:tc>
          <w:tcPr>
            <w:tcW w:w="525" w:type="dxa"/>
            <w:tcBorders>
              <w:top w:val="single" w:color="auto" w:sz="4" w:space="0"/>
              <w:left w:val="nil"/>
              <w:bottom w:val="single" w:color="auto" w:sz="4" w:space="0"/>
              <w:right w:val="single" w:color="auto" w:sz="4" w:space="0"/>
            </w:tcBorders>
          </w:tcPr>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套</w:t>
            </w:r>
          </w:p>
        </w:tc>
        <w:tc>
          <w:tcPr>
            <w:tcW w:w="728" w:type="dxa"/>
            <w:tcBorders>
              <w:top w:val="single" w:color="auto" w:sz="4" w:space="0"/>
              <w:left w:val="nil"/>
              <w:bottom w:val="single" w:color="auto" w:sz="4" w:space="0"/>
              <w:right w:val="single" w:color="auto" w:sz="4" w:space="0"/>
            </w:tcBorders>
          </w:tcPr>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三年质保及叁年运行维护</w:t>
            </w:r>
          </w:p>
        </w:tc>
      </w:tr>
      <w:tr>
        <w:tblPrEx>
          <w:tblLayout w:type="fixed"/>
          <w:tblCellMar>
            <w:top w:w="0" w:type="dxa"/>
            <w:left w:w="108" w:type="dxa"/>
            <w:bottom w:w="0" w:type="dxa"/>
            <w:right w:w="108" w:type="dxa"/>
          </w:tblCellMar>
        </w:tblPrEx>
        <w:trPr>
          <w:trHeight w:val="100" w:hRule="atLeast"/>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万兆交换机</w:t>
            </w:r>
          </w:p>
        </w:tc>
        <w:tc>
          <w:tcPr>
            <w:tcW w:w="665" w:type="dxa"/>
            <w:tcBorders>
              <w:top w:val="single" w:color="auto" w:sz="4" w:space="0"/>
              <w:left w:val="nil"/>
              <w:bottom w:val="single" w:color="auto" w:sz="4" w:space="0"/>
              <w:right w:val="single" w:color="auto" w:sz="4" w:space="0"/>
            </w:tcBorders>
            <w:shd w:val="clear" w:color="000000" w:fill="B7DEE8"/>
            <w:vAlign w:val="center"/>
          </w:tcPr>
          <w:p>
            <w:pPr>
              <w:spacing w:line="360" w:lineRule="auto"/>
              <w:jc w:val="center"/>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2</w:t>
            </w:r>
          </w:p>
        </w:tc>
        <w:tc>
          <w:tcPr>
            <w:tcW w:w="563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本次项目交换机配置不低于2台，单台交换机配置19英寸标准机架，交换机光口≥24万兆光，标准三层网管，单电源AC220V，交换容量≥2.56Tbps，包转发率≥480Mpps，配8个万兆光模块。</w:t>
            </w:r>
          </w:p>
        </w:tc>
        <w:tc>
          <w:tcPr>
            <w:tcW w:w="525" w:type="dxa"/>
            <w:tcBorders>
              <w:top w:val="single" w:color="auto" w:sz="4" w:space="0"/>
              <w:left w:val="nil"/>
              <w:bottom w:val="single" w:color="auto" w:sz="4" w:space="0"/>
              <w:right w:val="single" w:color="auto" w:sz="4" w:space="0"/>
            </w:tcBorders>
          </w:tcPr>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台</w:t>
            </w:r>
          </w:p>
        </w:tc>
        <w:tc>
          <w:tcPr>
            <w:tcW w:w="728" w:type="dxa"/>
            <w:tcBorders>
              <w:top w:val="single" w:color="auto" w:sz="4" w:space="0"/>
              <w:left w:val="nil"/>
              <w:bottom w:val="single" w:color="auto" w:sz="4" w:space="0"/>
              <w:right w:val="single" w:color="auto" w:sz="4" w:space="0"/>
            </w:tcBorders>
          </w:tcPr>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三年质保及叁年运行维护</w:t>
            </w:r>
          </w:p>
        </w:tc>
      </w:tr>
      <w:tr>
        <w:tblPrEx>
          <w:tblLayout w:type="fixed"/>
          <w:tblCellMar>
            <w:top w:w="0" w:type="dxa"/>
            <w:left w:w="108" w:type="dxa"/>
            <w:bottom w:w="0" w:type="dxa"/>
            <w:right w:w="108" w:type="dxa"/>
          </w:tblCellMar>
        </w:tblPrEx>
        <w:trPr>
          <w:trHeight w:val="100" w:hRule="atLeast"/>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万兆网卡</w:t>
            </w:r>
          </w:p>
        </w:tc>
        <w:tc>
          <w:tcPr>
            <w:tcW w:w="665" w:type="dxa"/>
            <w:tcBorders>
              <w:top w:val="single" w:color="auto" w:sz="4" w:space="0"/>
              <w:left w:val="nil"/>
              <w:bottom w:val="single" w:color="auto" w:sz="4" w:space="0"/>
              <w:right w:val="single" w:color="auto" w:sz="4" w:space="0"/>
            </w:tcBorders>
            <w:shd w:val="clear" w:color="000000" w:fill="B7DEE8"/>
            <w:vAlign w:val="center"/>
          </w:tcPr>
          <w:p>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p>
        </w:tc>
        <w:tc>
          <w:tcPr>
            <w:tcW w:w="5635"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★万兆网卡单口光纤网卡</w:t>
            </w:r>
            <w:r>
              <w:rPr>
                <w:rFonts w:ascii="宋体" w:hAnsi="宋体" w:eastAsia="宋体"/>
                <w:color w:val="000000" w:themeColor="text1"/>
                <w:szCs w:val="21"/>
                <w14:textFill>
                  <w14:solidFill>
                    <w14:schemeClr w14:val="tx1"/>
                  </w14:solidFill>
                </w14:textFill>
              </w:rPr>
              <w:t>10G网卡 X520DA1【含多模模块，2根10米LC-LC 光纤线】</w:t>
            </w:r>
            <w:r>
              <w:rPr>
                <w:rFonts w:hint="eastAsia" w:ascii="宋体" w:hAnsi="宋体" w:eastAsia="宋体"/>
                <w:color w:val="000000" w:themeColor="text1"/>
                <w:szCs w:val="21"/>
                <w14:textFill>
                  <w14:solidFill>
                    <w14:schemeClr w14:val="tx1"/>
                  </w14:solidFill>
                </w14:textFill>
              </w:rPr>
              <w:t>。</w:t>
            </w:r>
          </w:p>
        </w:tc>
        <w:tc>
          <w:tcPr>
            <w:tcW w:w="525" w:type="dxa"/>
            <w:tcBorders>
              <w:top w:val="single" w:color="auto" w:sz="4" w:space="0"/>
              <w:left w:val="nil"/>
              <w:bottom w:val="single" w:color="auto" w:sz="4" w:space="0"/>
              <w:right w:val="single" w:color="auto" w:sz="4" w:space="0"/>
            </w:tcBorders>
          </w:tcPr>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张</w:t>
            </w:r>
          </w:p>
        </w:tc>
        <w:tc>
          <w:tcPr>
            <w:tcW w:w="728" w:type="dxa"/>
            <w:tcBorders>
              <w:top w:val="single" w:color="auto" w:sz="4" w:space="0"/>
              <w:left w:val="nil"/>
              <w:bottom w:val="single" w:color="auto" w:sz="4" w:space="0"/>
              <w:right w:val="single" w:color="auto" w:sz="4" w:space="0"/>
            </w:tcBorders>
          </w:tcPr>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三年质保及叁年运行维护</w:t>
            </w:r>
          </w:p>
        </w:tc>
      </w:tr>
      <w:tr>
        <w:tblPrEx>
          <w:tblLayout w:type="fixed"/>
          <w:tblCellMar>
            <w:top w:w="0" w:type="dxa"/>
            <w:left w:w="108" w:type="dxa"/>
            <w:bottom w:w="0" w:type="dxa"/>
            <w:right w:w="108" w:type="dxa"/>
          </w:tblCellMar>
        </w:tblPrEx>
        <w:trPr>
          <w:trHeight w:val="100" w:hRule="atLeast"/>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数据迁移服务</w:t>
            </w:r>
          </w:p>
        </w:tc>
        <w:tc>
          <w:tcPr>
            <w:tcW w:w="665" w:type="dxa"/>
            <w:tcBorders>
              <w:top w:val="single" w:color="auto" w:sz="4" w:space="0"/>
              <w:left w:val="nil"/>
              <w:bottom w:val="single" w:color="auto" w:sz="4" w:space="0"/>
              <w:right w:val="single" w:color="auto" w:sz="4" w:space="0"/>
            </w:tcBorders>
            <w:shd w:val="clear" w:color="000000" w:fill="B7DEE8"/>
            <w:vAlign w:val="center"/>
          </w:tcPr>
          <w:p>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p>
        </w:tc>
        <w:tc>
          <w:tcPr>
            <w:tcW w:w="5635"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★区域影像数据清理，将原影像数据无缝迁移到扩容平台。</w:t>
            </w:r>
          </w:p>
        </w:tc>
        <w:tc>
          <w:tcPr>
            <w:tcW w:w="525" w:type="dxa"/>
            <w:tcBorders>
              <w:top w:val="single" w:color="auto" w:sz="4" w:space="0"/>
              <w:left w:val="nil"/>
              <w:bottom w:val="single" w:color="auto" w:sz="4" w:space="0"/>
              <w:right w:val="single" w:color="auto" w:sz="4" w:space="0"/>
            </w:tcBorders>
          </w:tcPr>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项</w:t>
            </w:r>
          </w:p>
        </w:tc>
        <w:tc>
          <w:tcPr>
            <w:tcW w:w="728" w:type="dxa"/>
            <w:tcBorders>
              <w:top w:val="single" w:color="auto" w:sz="4" w:space="0"/>
              <w:left w:val="nil"/>
              <w:bottom w:val="single" w:color="auto" w:sz="4" w:space="0"/>
              <w:right w:val="single" w:color="auto" w:sz="4" w:space="0"/>
            </w:tcBorders>
          </w:tcPr>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三年质保及叁年运行维护</w:t>
            </w:r>
          </w:p>
        </w:tc>
      </w:tr>
      <w:tr>
        <w:tblPrEx>
          <w:tblLayout w:type="fixed"/>
          <w:tblCellMar>
            <w:top w:w="0" w:type="dxa"/>
            <w:left w:w="108" w:type="dxa"/>
            <w:bottom w:w="0" w:type="dxa"/>
            <w:right w:w="108" w:type="dxa"/>
          </w:tblCellMar>
        </w:tblPrEx>
        <w:trPr>
          <w:trHeight w:val="100" w:hRule="atLeast"/>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原存储扩充硬盘</w:t>
            </w:r>
          </w:p>
        </w:tc>
        <w:tc>
          <w:tcPr>
            <w:tcW w:w="665" w:type="dxa"/>
            <w:tcBorders>
              <w:top w:val="single" w:color="auto" w:sz="4" w:space="0"/>
              <w:left w:val="nil"/>
              <w:bottom w:val="single" w:color="auto" w:sz="4" w:space="0"/>
              <w:right w:val="single" w:color="auto" w:sz="4" w:space="0"/>
            </w:tcBorders>
            <w:shd w:val="clear" w:color="000000" w:fill="B7DEE8"/>
            <w:vAlign w:val="center"/>
          </w:tcPr>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ascii="宋体" w:hAnsi="宋体" w:eastAsia="宋体"/>
                <w:color w:val="000000" w:themeColor="text1"/>
                <w:szCs w:val="21"/>
                <w14:textFill>
                  <w14:solidFill>
                    <w14:schemeClr w14:val="tx1"/>
                  </w14:solidFill>
                </w14:textFill>
              </w:rPr>
              <w:t>2</w:t>
            </w:r>
          </w:p>
        </w:tc>
        <w:tc>
          <w:tcPr>
            <w:tcW w:w="5635"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 xml:space="preserve">IBM </w:t>
            </w:r>
            <w:r>
              <w:rPr>
                <w:rFonts w:hint="eastAsia" w:ascii="宋体" w:hAnsi="宋体" w:eastAsia="宋体"/>
                <w:color w:val="000000" w:themeColor="text1"/>
                <w:szCs w:val="21"/>
                <w14:textFill>
                  <w14:solidFill>
                    <w14:schemeClr w14:val="tx1"/>
                  </w14:solidFill>
                </w14:textFill>
              </w:rPr>
              <w:t>3</w:t>
            </w:r>
            <w:r>
              <w:rPr>
                <w:rFonts w:ascii="宋体" w:hAnsi="宋体" w:eastAsia="宋体"/>
                <w:color w:val="000000" w:themeColor="text1"/>
                <w:szCs w:val="21"/>
                <w14:textFill>
                  <w14:solidFill>
                    <w14:schemeClr w14:val="tx1"/>
                  </w14:solidFill>
                </w14:textFill>
              </w:rPr>
              <w:t>.5</w:t>
            </w:r>
            <w:r>
              <w:rPr>
                <w:rFonts w:hint="eastAsia" w:ascii="宋体" w:hAnsi="宋体" w:eastAsia="宋体"/>
                <w:color w:val="000000" w:themeColor="text1"/>
                <w:szCs w:val="21"/>
                <w14:textFill>
                  <w14:solidFill>
                    <w14:schemeClr w14:val="tx1"/>
                  </w14:solidFill>
                </w14:textFill>
              </w:rPr>
              <w:t>寸</w:t>
            </w:r>
            <w:r>
              <w:rPr>
                <w:rFonts w:ascii="宋体" w:hAnsi="宋体" w:eastAsia="宋体"/>
                <w:color w:val="000000" w:themeColor="text1"/>
                <w:szCs w:val="21"/>
                <w14:textFill>
                  <w14:solidFill>
                    <w14:schemeClr w14:val="tx1"/>
                  </w14:solidFill>
                </w14:textFill>
              </w:rPr>
              <w:t>256MB 7200RPM</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2TB </w:t>
            </w:r>
            <w:r>
              <w:rPr>
                <w:rFonts w:hint="eastAsia" w:ascii="宋体" w:hAnsi="宋体" w:eastAsia="宋体"/>
                <w:color w:val="000000" w:themeColor="text1"/>
                <w:szCs w:val="21"/>
                <w14:textFill>
                  <w14:solidFill>
                    <w14:schemeClr w14:val="tx1"/>
                  </w14:solidFill>
                </w14:textFill>
              </w:rPr>
              <w:t>企业级S</w:t>
            </w:r>
            <w:r>
              <w:rPr>
                <w:rFonts w:ascii="宋体" w:hAnsi="宋体" w:eastAsia="宋体"/>
                <w:color w:val="000000" w:themeColor="text1"/>
                <w:szCs w:val="21"/>
                <w14:textFill>
                  <w14:solidFill>
                    <w14:schemeClr w14:val="tx1"/>
                  </w14:solidFill>
                </w14:textFill>
              </w:rPr>
              <w:t>ATA</w:t>
            </w:r>
            <w:r>
              <w:rPr>
                <w:rFonts w:hint="eastAsia" w:ascii="宋体" w:hAnsi="宋体" w:eastAsia="宋体"/>
                <w:color w:val="000000" w:themeColor="text1"/>
                <w:szCs w:val="21"/>
                <w14:textFill>
                  <w14:solidFill>
                    <w14:schemeClr w14:val="tx1"/>
                  </w14:solidFill>
                </w14:textFill>
              </w:rPr>
              <w:t>硬盘。</w:t>
            </w:r>
          </w:p>
        </w:tc>
        <w:tc>
          <w:tcPr>
            <w:tcW w:w="525" w:type="dxa"/>
            <w:tcBorders>
              <w:top w:val="single" w:color="auto" w:sz="4" w:space="0"/>
              <w:left w:val="nil"/>
              <w:bottom w:val="single" w:color="auto" w:sz="4" w:space="0"/>
              <w:right w:val="single" w:color="auto" w:sz="4" w:space="0"/>
            </w:tcBorders>
          </w:tcPr>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块</w:t>
            </w:r>
          </w:p>
        </w:tc>
        <w:tc>
          <w:tcPr>
            <w:tcW w:w="728" w:type="dxa"/>
            <w:tcBorders>
              <w:top w:val="single" w:color="auto" w:sz="4" w:space="0"/>
              <w:left w:val="nil"/>
              <w:bottom w:val="single" w:color="auto" w:sz="4" w:space="0"/>
              <w:right w:val="single" w:color="auto" w:sz="4" w:space="0"/>
            </w:tcBorders>
          </w:tcPr>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三年质保及叁年运行维护</w:t>
            </w:r>
          </w:p>
        </w:tc>
      </w:tr>
    </w:tbl>
    <w:p>
      <w:pPr>
        <w:pStyle w:val="37"/>
        <w:widowControl w:val="0"/>
        <w:ind w:firstLine="0" w:firstLineChars="0"/>
        <w:rPr>
          <w:rFonts w:ascii="宋体" w:hAnsi="宋体"/>
          <w:color w:val="000000" w:themeColor="text1"/>
          <w:sz w:val="24"/>
          <w:szCs w:val="24"/>
          <w14:textFill>
            <w14:solidFill>
              <w14:schemeClr w14:val="tx1"/>
            </w14:solidFill>
          </w14:textFill>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Songti SC">
    <w:altName w:val="微软雅黑"/>
    <w:panose1 w:val="00000000000000000000"/>
    <w:charset w:val="86"/>
    <w:family w:val="auto"/>
    <w:pitch w:val="default"/>
    <w:sig w:usb0="00000000" w:usb1="00000000" w:usb2="00000010" w:usb3="00000000" w:csb0="0004009F"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D65BD"/>
    <w:multiLevelType w:val="multilevel"/>
    <w:tmpl w:val="1F5D65B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C8C10C6"/>
    <w:multiLevelType w:val="multilevel"/>
    <w:tmpl w:val="3C8C10C6"/>
    <w:lvl w:ilvl="0" w:tentative="0">
      <w:start w:val="1"/>
      <w:numFmt w:val="decimal"/>
      <w:pStyle w:val="8"/>
      <w:lvlText w:val="%1."/>
      <w:lvlJc w:val="left"/>
      <w:pPr>
        <w:ind w:left="420" w:hanging="420"/>
      </w:pPr>
      <w:rPr>
        <w:b w:val="0"/>
        <w:color w:val="000000" w:themeColor="text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8B02B91"/>
    <w:multiLevelType w:val="multilevel"/>
    <w:tmpl w:val="58B02B9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976"/>
    <w:rsid w:val="00001DED"/>
    <w:rsid w:val="000079C2"/>
    <w:rsid w:val="00021A4C"/>
    <w:rsid w:val="000223A3"/>
    <w:rsid w:val="000362A6"/>
    <w:rsid w:val="00036C78"/>
    <w:rsid w:val="00037AFB"/>
    <w:rsid w:val="000511AE"/>
    <w:rsid w:val="00056191"/>
    <w:rsid w:val="00061617"/>
    <w:rsid w:val="000630EE"/>
    <w:rsid w:val="0006471B"/>
    <w:rsid w:val="00065778"/>
    <w:rsid w:val="00073649"/>
    <w:rsid w:val="00080DD9"/>
    <w:rsid w:val="00090330"/>
    <w:rsid w:val="0009730D"/>
    <w:rsid w:val="000A1F79"/>
    <w:rsid w:val="000A72E9"/>
    <w:rsid w:val="000A7A84"/>
    <w:rsid w:val="000B4217"/>
    <w:rsid w:val="000B5EB5"/>
    <w:rsid w:val="000C22E9"/>
    <w:rsid w:val="000C51B2"/>
    <w:rsid w:val="000C6119"/>
    <w:rsid w:val="000D5889"/>
    <w:rsid w:val="000D5C73"/>
    <w:rsid w:val="000E19F9"/>
    <w:rsid w:val="000F09E4"/>
    <w:rsid w:val="000F0E0D"/>
    <w:rsid w:val="000F230B"/>
    <w:rsid w:val="000F2A43"/>
    <w:rsid w:val="0010274A"/>
    <w:rsid w:val="00122C75"/>
    <w:rsid w:val="00130D69"/>
    <w:rsid w:val="001322AF"/>
    <w:rsid w:val="001373AD"/>
    <w:rsid w:val="00137EBF"/>
    <w:rsid w:val="00145FC8"/>
    <w:rsid w:val="00146770"/>
    <w:rsid w:val="00146908"/>
    <w:rsid w:val="00151B18"/>
    <w:rsid w:val="00156282"/>
    <w:rsid w:val="001572F5"/>
    <w:rsid w:val="001612FE"/>
    <w:rsid w:val="0017541B"/>
    <w:rsid w:val="0018336A"/>
    <w:rsid w:val="00192EFD"/>
    <w:rsid w:val="0019736C"/>
    <w:rsid w:val="001A5714"/>
    <w:rsid w:val="001A63B6"/>
    <w:rsid w:val="001B0D02"/>
    <w:rsid w:val="001B2EB2"/>
    <w:rsid w:val="001C55C2"/>
    <w:rsid w:val="001C6352"/>
    <w:rsid w:val="001C7FDE"/>
    <w:rsid w:val="001D1383"/>
    <w:rsid w:val="001D1A68"/>
    <w:rsid w:val="001D2729"/>
    <w:rsid w:val="001D37A6"/>
    <w:rsid w:val="001D65B2"/>
    <w:rsid w:val="001E11AA"/>
    <w:rsid w:val="00201081"/>
    <w:rsid w:val="002044D1"/>
    <w:rsid w:val="00215DCA"/>
    <w:rsid w:val="00215F74"/>
    <w:rsid w:val="00223577"/>
    <w:rsid w:val="0023015F"/>
    <w:rsid w:val="0023736B"/>
    <w:rsid w:val="00241305"/>
    <w:rsid w:val="00241EE0"/>
    <w:rsid w:val="002527C5"/>
    <w:rsid w:val="00252A59"/>
    <w:rsid w:val="00252E9C"/>
    <w:rsid w:val="002546C1"/>
    <w:rsid w:val="00256DB5"/>
    <w:rsid w:val="00260F68"/>
    <w:rsid w:val="002674EB"/>
    <w:rsid w:val="00267794"/>
    <w:rsid w:val="00271A83"/>
    <w:rsid w:val="00275B50"/>
    <w:rsid w:val="002854F7"/>
    <w:rsid w:val="00287A8A"/>
    <w:rsid w:val="00290865"/>
    <w:rsid w:val="00292A15"/>
    <w:rsid w:val="00294A12"/>
    <w:rsid w:val="002973BE"/>
    <w:rsid w:val="00297A63"/>
    <w:rsid w:val="002A2150"/>
    <w:rsid w:val="002C15E0"/>
    <w:rsid w:val="002C6130"/>
    <w:rsid w:val="002D2C4B"/>
    <w:rsid w:val="002D2F65"/>
    <w:rsid w:val="002D4BDB"/>
    <w:rsid w:val="002D5A3B"/>
    <w:rsid w:val="002D7E41"/>
    <w:rsid w:val="002F0F95"/>
    <w:rsid w:val="002F3683"/>
    <w:rsid w:val="002F72A4"/>
    <w:rsid w:val="00305FA8"/>
    <w:rsid w:val="003113DC"/>
    <w:rsid w:val="00314C6A"/>
    <w:rsid w:val="003276FB"/>
    <w:rsid w:val="00333B0E"/>
    <w:rsid w:val="003350AF"/>
    <w:rsid w:val="00335529"/>
    <w:rsid w:val="00340449"/>
    <w:rsid w:val="00351895"/>
    <w:rsid w:val="0035196E"/>
    <w:rsid w:val="0036290D"/>
    <w:rsid w:val="00363B03"/>
    <w:rsid w:val="003645A5"/>
    <w:rsid w:val="003663A9"/>
    <w:rsid w:val="00366EE9"/>
    <w:rsid w:val="00376016"/>
    <w:rsid w:val="003809E3"/>
    <w:rsid w:val="00396BBF"/>
    <w:rsid w:val="003A5AA7"/>
    <w:rsid w:val="003A794D"/>
    <w:rsid w:val="003B32DE"/>
    <w:rsid w:val="003C0A7E"/>
    <w:rsid w:val="003D2D53"/>
    <w:rsid w:val="003E59D1"/>
    <w:rsid w:val="003E7D67"/>
    <w:rsid w:val="003F48ED"/>
    <w:rsid w:val="003F6CAC"/>
    <w:rsid w:val="00413050"/>
    <w:rsid w:val="004157B5"/>
    <w:rsid w:val="004173CF"/>
    <w:rsid w:val="00417C7A"/>
    <w:rsid w:val="004270E1"/>
    <w:rsid w:val="0043435E"/>
    <w:rsid w:val="00436CAC"/>
    <w:rsid w:val="00444976"/>
    <w:rsid w:val="00450884"/>
    <w:rsid w:val="00453ABA"/>
    <w:rsid w:val="004546FD"/>
    <w:rsid w:val="004663CA"/>
    <w:rsid w:val="00467CAE"/>
    <w:rsid w:val="00470F62"/>
    <w:rsid w:val="00476A31"/>
    <w:rsid w:val="00480B74"/>
    <w:rsid w:val="004904B0"/>
    <w:rsid w:val="00491063"/>
    <w:rsid w:val="004939F7"/>
    <w:rsid w:val="00494E1C"/>
    <w:rsid w:val="004B256F"/>
    <w:rsid w:val="004C15B7"/>
    <w:rsid w:val="004C1D1E"/>
    <w:rsid w:val="004C5111"/>
    <w:rsid w:val="004C553B"/>
    <w:rsid w:val="004C6F05"/>
    <w:rsid w:val="004C765C"/>
    <w:rsid w:val="004C7FFD"/>
    <w:rsid w:val="004E0728"/>
    <w:rsid w:val="004F10B6"/>
    <w:rsid w:val="004F226F"/>
    <w:rsid w:val="004F7CE6"/>
    <w:rsid w:val="00500F12"/>
    <w:rsid w:val="00510B73"/>
    <w:rsid w:val="005232D9"/>
    <w:rsid w:val="005304A0"/>
    <w:rsid w:val="00533409"/>
    <w:rsid w:val="005411C0"/>
    <w:rsid w:val="005453FC"/>
    <w:rsid w:val="005506F1"/>
    <w:rsid w:val="00554C3A"/>
    <w:rsid w:val="0055658B"/>
    <w:rsid w:val="005565C4"/>
    <w:rsid w:val="00561C23"/>
    <w:rsid w:val="005639F3"/>
    <w:rsid w:val="005655CE"/>
    <w:rsid w:val="0057389E"/>
    <w:rsid w:val="00581442"/>
    <w:rsid w:val="00591A87"/>
    <w:rsid w:val="00593A52"/>
    <w:rsid w:val="00595794"/>
    <w:rsid w:val="00595A9F"/>
    <w:rsid w:val="005A1A5D"/>
    <w:rsid w:val="005A639C"/>
    <w:rsid w:val="005A6997"/>
    <w:rsid w:val="005B06C8"/>
    <w:rsid w:val="005B4E91"/>
    <w:rsid w:val="005C659E"/>
    <w:rsid w:val="005D324A"/>
    <w:rsid w:val="005D4511"/>
    <w:rsid w:val="005D7F09"/>
    <w:rsid w:val="005E1B84"/>
    <w:rsid w:val="005E249C"/>
    <w:rsid w:val="005F013F"/>
    <w:rsid w:val="005F174E"/>
    <w:rsid w:val="005F242A"/>
    <w:rsid w:val="005F5662"/>
    <w:rsid w:val="00601090"/>
    <w:rsid w:val="00603D99"/>
    <w:rsid w:val="006135B9"/>
    <w:rsid w:val="00617052"/>
    <w:rsid w:val="00622A9F"/>
    <w:rsid w:val="00625183"/>
    <w:rsid w:val="00630BD8"/>
    <w:rsid w:val="00634436"/>
    <w:rsid w:val="00635941"/>
    <w:rsid w:val="00635D96"/>
    <w:rsid w:val="00652C2A"/>
    <w:rsid w:val="006624DC"/>
    <w:rsid w:val="006650AC"/>
    <w:rsid w:val="00665EC9"/>
    <w:rsid w:val="00666A32"/>
    <w:rsid w:val="00674191"/>
    <w:rsid w:val="00676499"/>
    <w:rsid w:val="00681A6C"/>
    <w:rsid w:val="00686F9D"/>
    <w:rsid w:val="006925FE"/>
    <w:rsid w:val="00693FF5"/>
    <w:rsid w:val="006945A1"/>
    <w:rsid w:val="00696FBB"/>
    <w:rsid w:val="006A2FAA"/>
    <w:rsid w:val="006A4FA5"/>
    <w:rsid w:val="006A5819"/>
    <w:rsid w:val="006C499E"/>
    <w:rsid w:val="006F147E"/>
    <w:rsid w:val="006F4580"/>
    <w:rsid w:val="00704014"/>
    <w:rsid w:val="00707ACD"/>
    <w:rsid w:val="00707F56"/>
    <w:rsid w:val="0071265A"/>
    <w:rsid w:val="00720697"/>
    <w:rsid w:val="007224AB"/>
    <w:rsid w:val="007317C7"/>
    <w:rsid w:val="00741886"/>
    <w:rsid w:val="007457B2"/>
    <w:rsid w:val="00746965"/>
    <w:rsid w:val="007537E3"/>
    <w:rsid w:val="00766AA1"/>
    <w:rsid w:val="00770E6A"/>
    <w:rsid w:val="00773430"/>
    <w:rsid w:val="007804A8"/>
    <w:rsid w:val="00780A92"/>
    <w:rsid w:val="00780AA2"/>
    <w:rsid w:val="0078189B"/>
    <w:rsid w:val="00786595"/>
    <w:rsid w:val="0079107C"/>
    <w:rsid w:val="00795E98"/>
    <w:rsid w:val="007A08DF"/>
    <w:rsid w:val="007A634E"/>
    <w:rsid w:val="007A79D5"/>
    <w:rsid w:val="007B1C3D"/>
    <w:rsid w:val="007C7066"/>
    <w:rsid w:val="007C7590"/>
    <w:rsid w:val="007D4455"/>
    <w:rsid w:val="007E1107"/>
    <w:rsid w:val="007E4AB8"/>
    <w:rsid w:val="007F03A2"/>
    <w:rsid w:val="007F5685"/>
    <w:rsid w:val="00805BE0"/>
    <w:rsid w:val="00811726"/>
    <w:rsid w:val="00815E1C"/>
    <w:rsid w:val="008160AC"/>
    <w:rsid w:val="0081725E"/>
    <w:rsid w:val="008203E0"/>
    <w:rsid w:val="00822857"/>
    <w:rsid w:val="0083488B"/>
    <w:rsid w:val="00837AEB"/>
    <w:rsid w:val="00842118"/>
    <w:rsid w:val="008440AF"/>
    <w:rsid w:val="00853C3F"/>
    <w:rsid w:val="008603A5"/>
    <w:rsid w:val="00861A55"/>
    <w:rsid w:val="00866EA0"/>
    <w:rsid w:val="0087127C"/>
    <w:rsid w:val="00880B11"/>
    <w:rsid w:val="00891831"/>
    <w:rsid w:val="00895B0B"/>
    <w:rsid w:val="008A3C27"/>
    <w:rsid w:val="008A60DA"/>
    <w:rsid w:val="008C071C"/>
    <w:rsid w:val="008C129F"/>
    <w:rsid w:val="008C230B"/>
    <w:rsid w:val="008C32CC"/>
    <w:rsid w:val="008C64CC"/>
    <w:rsid w:val="008E1C96"/>
    <w:rsid w:val="008F0CCE"/>
    <w:rsid w:val="008F3E70"/>
    <w:rsid w:val="008F7BE8"/>
    <w:rsid w:val="009028EC"/>
    <w:rsid w:val="00907977"/>
    <w:rsid w:val="009130C4"/>
    <w:rsid w:val="00916949"/>
    <w:rsid w:val="00922169"/>
    <w:rsid w:val="00925362"/>
    <w:rsid w:val="00925F0D"/>
    <w:rsid w:val="00927249"/>
    <w:rsid w:val="00946B6D"/>
    <w:rsid w:val="00951F2D"/>
    <w:rsid w:val="00954830"/>
    <w:rsid w:val="00957F4C"/>
    <w:rsid w:val="0096108C"/>
    <w:rsid w:val="00971316"/>
    <w:rsid w:val="0097769A"/>
    <w:rsid w:val="00981709"/>
    <w:rsid w:val="009876CB"/>
    <w:rsid w:val="00996DF7"/>
    <w:rsid w:val="009A026E"/>
    <w:rsid w:val="009A0E23"/>
    <w:rsid w:val="009A54F0"/>
    <w:rsid w:val="009A6B92"/>
    <w:rsid w:val="009B4E74"/>
    <w:rsid w:val="009C52BE"/>
    <w:rsid w:val="009C71DE"/>
    <w:rsid w:val="009E0B2A"/>
    <w:rsid w:val="009E1056"/>
    <w:rsid w:val="009E3CB0"/>
    <w:rsid w:val="009E5E3D"/>
    <w:rsid w:val="009E68D6"/>
    <w:rsid w:val="009E7119"/>
    <w:rsid w:val="009F5530"/>
    <w:rsid w:val="009F758A"/>
    <w:rsid w:val="00A03A4A"/>
    <w:rsid w:val="00A04B26"/>
    <w:rsid w:val="00A1767E"/>
    <w:rsid w:val="00A25745"/>
    <w:rsid w:val="00A260A7"/>
    <w:rsid w:val="00A354FB"/>
    <w:rsid w:val="00A42A91"/>
    <w:rsid w:val="00A511C1"/>
    <w:rsid w:val="00A533EF"/>
    <w:rsid w:val="00A536C5"/>
    <w:rsid w:val="00A56FA4"/>
    <w:rsid w:val="00A65DAE"/>
    <w:rsid w:val="00A67E46"/>
    <w:rsid w:val="00A7099E"/>
    <w:rsid w:val="00A8133B"/>
    <w:rsid w:val="00A92CF9"/>
    <w:rsid w:val="00A95328"/>
    <w:rsid w:val="00A969C9"/>
    <w:rsid w:val="00A96F65"/>
    <w:rsid w:val="00AA09E5"/>
    <w:rsid w:val="00AA0BD1"/>
    <w:rsid w:val="00AA5CBC"/>
    <w:rsid w:val="00AA6AF0"/>
    <w:rsid w:val="00AB5A10"/>
    <w:rsid w:val="00AC00B1"/>
    <w:rsid w:val="00AC538F"/>
    <w:rsid w:val="00AC6718"/>
    <w:rsid w:val="00AC6757"/>
    <w:rsid w:val="00AD0760"/>
    <w:rsid w:val="00AE3C70"/>
    <w:rsid w:val="00AE49E1"/>
    <w:rsid w:val="00AE4FCE"/>
    <w:rsid w:val="00AF1B10"/>
    <w:rsid w:val="00AF2E6F"/>
    <w:rsid w:val="00AF3515"/>
    <w:rsid w:val="00B041E0"/>
    <w:rsid w:val="00B11DC3"/>
    <w:rsid w:val="00B15E56"/>
    <w:rsid w:val="00B31EA9"/>
    <w:rsid w:val="00B32166"/>
    <w:rsid w:val="00B34A1D"/>
    <w:rsid w:val="00B35CAF"/>
    <w:rsid w:val="00B453D6"/>
    <w:rsid w:val="00B458DC"/>
    <w:rsid w:val="00B45AE5"/>
    <w:rsid w:val="00B45F42"/>
    <w:rsid w:val="00B51849"/>
    <w:rsid w:val="00B54AD5"/>
    <w:rsid w:val="00B5655E"/>
    <w:rsid w:val="00B62EE3"/>
    <w:rsid w:val="00B64F02"/>
    <w:rsid w:val="00B707C1"/>
    <w:rsid w:val="00B70DFB"/>
    <w:rsid w:val="00B74B58"/>
    <w:rsid w:val="00B74EB8"/>
    <w:rsid w:val="00B82A11"/>
    <w:rsid w:val="00B95B15"/>
    <w:rsid w:val="00B9730F"/>
    <w:rsid w:val="00BA001B"/>
    <w:rsid w:val="00BA200E"/>
    <w:rsid w:val="00BA65A3"/>
    <w:rsid w:val="00BB0309"/>
    <w:rsid w:val="00BB293D"/>
    <w:rsid w:val="00BB73EC"/>
    <w:rsid w:val="00BB7776"/>
    <w:rsid w:val="00BC4987"/>
    <w:rsid w:val="00BD6ABA"/>
    <w:rsid w:val="00BE6011"/>
    <w:rsid w:val="00BF1872"/>
    <w:rsid w:val="00BF1EA6"/>
    <w:rsid w:val="00BF423C"/>
    <w:rsid w:val="00BF4981"/>
    <w:rsid w:val="00BF5294"/>
    <w:rsid w:val="00C008B2"/>
    <w:rsid w:val="00C00D42"/>
    <w:rsid w:val="00C033EA"/>
    <w:rsid w:val="00C03B9E"/>
    <w:rsid w:val="00C14ACA"/>
    <w:rsid w:val="00C20D81"/>
    <w:rsid w:val="00C21635"/>
    <w:rsid w:val="00C22224"/>
    <w:rsid w:val="00C27C5A"/>
    <w:rsid w:val="00C3087F"/>
    <w:rsid w:val="00C32ED3"/>
    <w:rsid w:val="00C36479"/>
    <w:rsid w:val="00C410A9"/>
    <w:rsid w:val="00C47ABB"/>
    <w:rsid w:val="00C518E4"/>
    <w:rsid w:val="00C53CF2"/>
    <w:rsid w:val="00C543B8"/>
    <w:rsid w:val="00C5598D"/>
    <w:rsid w:val="00C57EDF"/>
    <w:rsid w:val="00C62C36"/>
    <w:rsid w:val="00C66E28"/>
    <w:rsid w:val="00C76680"/>
    <w:rsid w:val="00C85F16"/>
    <w:rsid w:val="00C86AC8"/>
    <w:rsid w:val="00C92FA2"/>
    <w:rsid w:val="00C934C5"/>
    <w:rsid w:val="00C96021"/>
    <w:rsid w:val="00C96D23"/>
    <w:rsid w:val="00CA0066"/>
    <w:rsid w:val="00CA159B"/>
    <w:rsid w:val="00CA6A6F"/>
    <w:rsid w:val="00CB2F6A"/>
    <w:rsid w:val="00CB32ED"/>
    <w:rsid w:val="00CC1BAA"/>
    <w:rsid w:val="00CC2666"/>
    <w:rsid w:val="00CC4080"/>
    <w:rsid w:val="00CC6881"/>
    <w:rsid w:val="00CC7D19"/>
    <w:rsid w:val="00CC7E72"/>
    <w:rsid w:val="00CE26D5"/>
    <w:rsid w:val="00CE37D2"/>
    <w:rsid w:val="00CF31C7"/>
    <w:rsid w:val="00CF56A7"/>
    <w:rsid w:val="00CF5B7C"/>
    <w:rsid w:val="00CF6410"/>
    <w:rsid w:val="00D01924"/>
    <w:rsid w:val="00D0772B"/>
    <w:rsid w:val="00D1103D"/>
    <w:rsid w:val="00D16F11"/>
    <w:rsid w:val="00D17206"/>
    <w:rsid w:val="00D23CEF"/>
    <w:rsid w:val="00D23EC9"/>
    <w:rsid w:val="00D308EB"/>
    <w:rsid w:val="00D32B40"/>
    <w:rsid w:val="00D3306A"/>
    <w:rsid w:val="00D3737E"/>
    <w:rsid w:val="00D3763A"/>
    <w:rsid w:val="00D37C0C"/>
    <w:rsid w:val="00D52A21"/>
    <w:rsid w:val="00D52FD6"/>
    <w:rsid w:val="00D61C23"/>
    <w:rsid w:val="00D86381"/>
    <w:rsid w:val="00D8640F"/>
    <w:rsid w:val="00D9318A"/>
    <w:rsid w:val="00D93E64"/>
    <w:rsid w:val="00D961A6"/>
    <w:rsid w:val="00DB4D6B"/>
    <w:rsid w:val="00DC11BD"/>
    <w:rsid w:val="00DD02B2"/>
    <w:rsid w:val="00DD099B"/>
    <w:rsid w:val="00DD0F33"/>
    <w:rsid w:val="00DD47CD"/>
    <w:rsid w:val="00DD485D"/>
    <w:rsid w:val="00DD69B1"/>
    <w:rsid w:val="00DE4B6D"/>
    <w:rsid w:val="00DE54B9"/>
    <w:rsid w:val="00DE592A"/>
    <w:rsid w:val="00DF1E3B"/>
    <w:rsid w:val="00DF3B2A"/>
    <w:rsid w:val="00DF724E"/>
    <w:rsid w:val="00E007A1"/>
    <w:rsid w:val="00E019EE"/>
    <w:rsid w:val="00E16AA7"/>
    <w:rsid w:val="00E22B8B"/>
    <w:rsid w:val="00E24CE3"/>
    <w:rsid w:val="00E255F5"/>
    <w:rsid w:val="00E269EB"/>
    <w:rsid w:val="00E27163"/>
    <w:rsid w:val="00E27A45"/>
    <w:rsid w:val="00E3082D"/>
    <w:rsid w:val="00E30B2F"/>
    <w:rsid w:val="00E311FC"/>
    <w:rsid w:val="00E318BC"/>
    <w:rsid w:val="00E33411"/>
    <w:rsid w:val="00E366C9"/>
    <w:rsid w:val="00E405E2"/>
    <w:rsid w:val="00E4369E"/>
    <w:rsid w:val="00E45356"/>
    <w:rsid w:val="00E463CF"/>
    <w:rsid w:val="00E469DE"/>
    <w:rsid w:val="00E47BD4"/>
    <w:rsid w:val="00E5535D"/>
    <w:rsid w:val="00E573AA"/>
    <w:rsid w:val="00E5790B"/>
    <w:rsid w:val="00E62E41"/>
    <w:rsid w:val="00E65992"/>
    <w:rsid w:val="00E72FAE"/>
    <w:rsid w:val="00E739FC"/>
    <w:rsid w:val="00E77CE1"/>
    <w:rsid w:val="00E84FF0"/>
    <w:rsid w:val="00E91428"/>
    <w:rsid w:val="00E92808"/>
    <w:rsid w:val="00EA50FB"/>
    <w:rsid w:val="00EB0C61"/>
    <w:rsid w:val="00EB34CD"/>
    <w:rsid w:val="00EB3BFF"/>
    <w:rsid w:val="00EB76AF"/>
    <w:rsid w:val="00EB79B3"/>
    <w:rsid w:val="00EB7E12"/>
    <w:rsid w:val="00EC5FD3"/>
    <w:rsid w:val="00EC7825"/>
    <w:rsid w:val="00EC7D6D"/>
    <w:rsid w:val="00ED06D6"/>
    <w:rsid w:val="00ED2BA3"/>
    <w:rsid w:val="00ED326D"/>
    <w:rsid w:val="00EE5E9F"/>
    <w:rsid w:val="00EE67DE"/>
    <w:rsid w:val="00F00FF0"/>
    <w:rsid w:val="00F03A73"/>
    <w:rsid w:val="00F04EC0"/>
    <w:rsid w:val="00F179F8"/>
    <w:rsid w:val="00F2007D"/>
    <w:rsid w:val="00F25C3B"/>
    <w:rsid w:val="00F27D0F"/>
    <w:rsid w:val="00F3522E"/>
    <w:rsid w:val="00F4146A"/>
    <w:rsid w:val="00F415A4"/>
    <w:rsid w:val="00F41D15"/>
    <w:rsid w:val="00F53308"/>
    <w:rsid w:val="00F606EC"/>
    <w:rsid w:val="00F6683E"/>
    <w:rsid w:val="00F674F9"/>
    <w:rsid w:val="00F718FA"/>
    <w:rsid w:val="00F73EF6"/>
    <w:rsid w:val="00F7624E"/>
    <w:rsid w:val="00F764EE"/>
    <w:rsid w:val="00F848AA"/>
    <w:rsid w:val="00F905A7"/>
    <w:rsid w:val="00F95A6D"/>
    <w:rsid w:val="00FA44A0"/>
    <w:rsid w:val="00FB129E"/>
    <w:rsid w:val="00FB4689"/>
    <w:rsid w:val="00FB4B79"/>
    <w:rsid w:val="00FB58E0"/>
    <w:rsid w:val="00FB5B59"/>
    <w:rsid w:val="00FC0FDE"/>
    <w:rsid w:val="00FC5A6D"/>
    <w:rsid w:val="00FD09CD"/>
    <w:rsid w:val="00FD0C9F"/>
    <w:rsid w:val="00FE1572"/>
    <w:rsid w:val="00FE39B0"/>
    <w:rsid w:val="00FE3B16"/>
    <w:rsid w:val="00FE5389"/>
    <w:rsid w:val="00FF20D6"/>
    <w:rsid w:val="00FF59DE"/>
    <w:rsid w:val="00FF64F5"/>
    <w:rsid w:val="00FF66DF"/>
    <w:rsid w:val="00FF7DFA"/>
    <w:rsid w:val="0CAA3CA9"/>
    <w:rsid w:val="178D7D38"/>
    <w:rsid w:val="1B10038A"/>
    <w:rsid w:val="1B7B3DE0"/>
    <w:rsid w:val="287F4836"/>
    <w:rsid w:val="2BC57833"/>
    <w:rsid w:val="31794C91"/>
    <w:rsid w:val="42C83436"/>
    <w:rsid w:val="43FED530"/>
    <w:rsid w:val="44C86692"/>
    <w:rsid w:val="4C0B0B14"/>
    <w:rsid w:val="4D1A5469"/>
    <w:rsid w:val="4FB359EA"/>
    <w:rsid w:val="56FD6B7B"/>
    <w:rsid w:val="67EB4CDD"/>
    <w:rsid w:val="7973BA94"/>
    <w:rsid w:val="7CE64C30"/>
    <w:rsid w:val="7E434634"/>
    <w:rsid w:val="7FBB7300"/>
    <w:rsid w:val="AD3D06B6"/>
    <w:rsid w:val="B9BB85D6"/>
    <w:rsid w:val="BCCF8593"/>
    <w:rsid w:val="CFE48072"/>
    <w:rsid w:val="F1DE7F60"/>
    <w:rsid w:val="FF7D1588"/>
    <w:rsid w:val="FFBEC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3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32"/>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33"/>
    <w:unhideWhenUsed/>
    <w:qFormat/>
    <w:uiPriority w:val="9"/>
    <w:pPr>
      <w:keepNext/>
      <w:keepLines/>
      <w:numPr>
        <w:ilvl w:val="0"/>
        <w:numId w:val="1"/>
      </w:numPr>
      <w:spacing w:before="240" w:after="64" w:line="360" w:lineRule="exact"/>
      <w:outlineLvl w:val="5"/>
    </w:pPr>
    <w:rPr>
      <w:rFonts w:ascii="Songti SC" w:hAnsi="Songti SC" w:eastAsia="Songti SC" w:cstheme="majorBidi"/>
      <w:bCs/>
      <w:color w:val="333333"/>
      <w:sz w:val="24"/>
    </w:rPr>
  </w:style>
  <w:style w:type="character" w:default="1" w:styleId="19">
    <w:name w:val="Default Paragraph Font"/>
    <w:semiHidden/>
    <w:unhideWhenUsed/>
    <w:uiPriority w:val="1"/>
  </w:style>
  <w:style w:type="table" w:default="1" w:styleId="17">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9">
    <w:name w:val="annotation text"/>
    <w:basedOn w:val="1"/>
    <w:link w:val="26"/>
    <w:unhideWhenUsed/>
    <w:qFormat/>
    <w:uiPriority w:val="99"/>
    <w:pPr>
      <w:jc w:val="left"/>
    </w:pPr>
  </w:style>
  <w:style w:type="paragraph" w:styleId="10">
    <w:name w:val="Body Text Indent"/>
    <w:basedOn w:val="1"/>
    <w:link w:val="39"/>
    <w:semiHidden/>
    <w:unhideWhenUsed/>
    <w:qFormat/>
    <w:uiPriority w:val="99"/>
    <w:pPr>
      <w:spacing w:after="120"/>
      <w:ind w:left="420" w:leftChars="200"/>
    </w:pPr>
  </w:style>
  <w:style w:type="paragraph" w:styleId="11">
    <w:name w:val="Balloon Text"/>
    <w:basedOn w:val="1"/>
    <w:link w:val="25"/>
    <w:unhideWhenUsed/>
    <w:qFormat/>
    <w:uiPriority w:val="99"/>
    <w:rPr>
      <w:sz w:val="18"/>
      <w:szCs w:val="18"/>
    </w:rPr>
  </w:style>
  <w:style w:type="paragraph" w:styleId="12">
    <w:name w:val="footer"/>
    <w:basedOn w:val="1"/>
    <w:link w:val="22"/>
    <w:unhideWhenUsed/>
    <w:qFormat/>
    <w:uiPriority w:val="99"/>
    <w:pPr>
      <w:tabs>
        <w:tab w:val="center" w:pos="4153"/>
        <w:tab w:val="right" w:pos="8306"/>
      </w:tabs>
      <w:snapToGrid w:val="0"/>
      <w:jc w:val="left"/>
    </w:pPr>
    <w:rPr>
      <w:sz w:val="18"/>
      <w:szCs w:val="18"/>
    </w:rPr>
  </w:style>
  <w:style w:type="paragraph" w:styleId="13">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itle"/>
    <w:basedOn w:val="1"/>
    <w:next w:val="1"/>
    <w:link w:val="34"/>
    <w:qFormat/>
    <w:uiPriority w:val="10"/>
    <w:pPr>
      <w:spacing w:before="240" w:after="60"/>
      <w:jc w:val="center"/>
      <w:outlineLvl w:val="0"/>
    </w:pPr>
    <w:rPr>
      <w:rFonts w:asciiTheme="majorHAnsi" w:hAnsiTheme="majorHAnsi" w:eastAsiaTheme="majorEastAsia" w:cstheme="majorBidi"/>
      <w:b/>
      <w:bCs/>
      <w:sz w:val="32"/>
      <w:szCs w:val="32"/>
    </w:rPr>
  </w:style>
  <w:style w:type="paragraph" w:styleId="15">
    <w:name w:val="annotation subject"/>
    <w:basedOn w:val="9"/>
    <w:next w:val="9"/>
    <w:link w:val="27"/>
    <w:unhideWhenUsed/>
    <w:qFormat/>
    <w:uiPriority w:val="99"/>
    <w:rPr>
      <w:b/>
      <w:bCs/>
    </w:rPr>
  </w:style>
  <w:style w:type="paragraph" w:styleId="16">
    <w:name w:val="Body Text First Indent 2"/>
    <w:basedOn w:val="1"/>
    <w:link w:val="40"/>
    <w:qFormat/>
    <w:uiPriority w:val="0"/>
    <w:pPr>
      <w:spacing w:before="156" w:beforeLines="50" w:after="156" w:afterLines="50"/>
      <w:ind w:firstLine="200"/>
    </w:pPr>
    <w:rPr>
      <w:rFonts w:ascii="Times New Roman" w:hAnsi="Times New Roman" w:eastAsia="宋体" w:cs="Times New Roman"/>
      <w:szCs w:val="20"/>
    </w:r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0">
    <w:name w:val="annotation reference"/>
    <w:basedOn w:val="19"/>
    <w:unhideWhenUsed/>
    <w:qFormat/>
    <w:uiPriority w:val="99"/>
    <w:rPr>
      <w:sz w:val="21"/>
      <w:szCs w:val="21"/>
    </w:rPr>
  </w:style>
  <w:style w:type="character" w:customStyle="1" w:styleId="21">
    <w:name w:val="页眉 字符"/>
    <w:basedOn w:val="19"/>
    <w:link w:val="13"/>
    <w:qFormat/>
    <w:uiPriority w:val="99"/>
    <w:rPr>
      <w:sz w:val="18"/>
      <w:szCs w:val="18"/>
    </w:rPr>
  </w:style>
  <w:style w:type="character" w:customStyle="1" w:styleId="22">
    <w:name w:val="页脚 字符"/>
    <w:basedOn w:val="19"/>
    <w:link w:val="12"/>
    <w:qFormat/>
    <w:uiPriority w:val="99"/>
    <w:rPr>
      <w:sz w:val="18"/>
      <w:szCs w:val="18"/>
    </w:rPr>
  </w:style>
  <w:style w:type="paragraph" w:customStyle="1" w:styleId="23">
    <w:name w:val="列表段落1"/>
    <w:basedOn w:val="1"/>
    <w:qFormat/>
    <w:uiPriority w:val="34"/>
    <w:pPr>
      <w:ind w:firstLine="420" w:firstLineChars="200"/>
    </w:pPr>
  </w:style>
  <w:style w:type="character" w:customStyle="1" w:styleId="24">
    <w:name w:val="apple-converted-space"/>
    <w:basedOn w:val="19"/>
    <w:qFormat/>
    <w:uiPriority w:val="0"/>
  </w:style>
  <w:style w:type="character" w:customStyle="1" w:styleId="25">
    <w:name w:val="批注框文本 字符"/>
    <w:basedOn w:val="19"/>
    <w:link w:val="11"/>
    <w:qFormat/>
    <w:uiPriority w:val="99"/>
    <w:rPr>
      <w:sz w:val="18"/>
      <w:szCs w:val="18"/>
    </w:rPr>
  </w:style>
  <w:style w:type="character" w:customStyle="1" w:styleId="26">
    <w:name w:val="批注文字 字符"/>
    <w:basedOn w:val="19"/>
    <w:link w:val="9"/>
    <w:semiHidden/>
    <w:qFormat/>
    <w:uiPriority w:val="99"/>
    <w:rPr>
      <w:szCs w:val="24"/>
    </w:rPr>
  </w:style>
  <w:style w:type="character" w:customStyle="1" w:styleId="27">
    <w:name w:val="批注主题 字符"/>
    <w:basedOn w:val="26"/>
    <w:link w:val="15"/>
    <w:semiHidden/>
    <w:qFormat/>
    <w:uiPriority w:val="99"/>
    <w:rPr>
      <w:b/>
      <w:bCs/>
      <w:szCs w:val="24"/>
    </w:rPr>
  </w:style>
  <w:style w:type="paragraph" w:styleId="28">
    <w:name w:val="List Paragraph"/>
    <w:basedOn w:val="1"/>
    <w:qFormat/>
    <w:uiPriority w:val="34"/>
    <w:pPr>
      <w:widowControl/>
      <w:spacing w:before="100" w:beforeAutospacing="1" w:after="100" w:afterAutospacing="1"/>
      <w:jc w:val="left"/>
    </w:pPr>
    <w:rPr>
      <w:rFonts w:ascii="宋体" w:hAnsi="宋体" w:eastAsia="宋体" w:cs="宋体"/>
      <w:kern w:val="0"/>
      <w:sz w:val="24"/>
    </w:rPr>
  </w:style>
  <w:style w:type="character" w:customStyle="1" w:styleId="29">
    <w:name w:val="标题 2 字符"/>
    <w:basedOn w:val="19"/>
    <w:link w:val="4"/>
    <w:qFormat/>
    <w:uiPriority w:val="9"/>
    <w:rPr>
      <w:rFonts w:asciiTheme="majorHAnsi" w:hAnsiTheme="majorHAnsi" w:eastAsiaTheme="majorEastAsia" w:cstheme="majorBidi"/>
      <w:b/>
      <w:bCs/>
      <w:kern w:val="2"/>
      <w:sz w:val="32"/>
      <w:szCs w:val="32"/>
    </w:rPr>
  </w:style>
  <w:style w:type="character" w:customStyle="1" w:styleId="30">
    <w:name w:val="标题 3 字符"/>
    <w:basedOn w:val="19"/>
    <w:link w:val="5"/>
    <w:qFormat/>
    <w:uiPriority w:val="9"/>
    <w:rPr>
      <w:b/>
      <w:bCs/>
      <w:kern w:val="2"/>
      <w:sz w:val="32"/>
      <w:szCs w:val="32"/>
    </w:rPr>
  </w:style>
  <w:style w:type="character" w:customStyle="1" w:styleId="31">
    <w:name w:val="标题 4 字符"/>
    <w:basedOn w:val="19"/>
    <w:link w:val="6"/>
    <w:qFormat/>
    <w:uiPriority w:val="9"/>
    <w:rPr>
      <w:rFonts w:asciiTheme="majorHAnsi" w:hAnsiTheme="majorHAnsi" w:eastAsiaTheme="majorEastAsia" w:cstheme="majorBidi"/>
      <w:b/>
      <w:bCs/>
      <w:kern w:val="2"/>
      <w:sz w:val="28"/>
      <w:szCs w:val="28"/>
    </w:rPr>
  </w:style>
  <w:style w:type="character" w:customStyle="1" w:styleId="32">
    <w:name w:val="标题 5 字符"/>
    <w:basedOn w:val="19"/>
    <w:link w:val="7"/>
    <w:qFormat/>
    <w:uiPriority w:val="9"/>
    <w:rPr>
      <w:b/>
      <w:bCs/>
      <w:kern w:val="2"/>
      <w:sz w:val="28"/>
      <w:szCs w:val="28"/>
    </w:rPr>
  </w:style>
  <w:style w:type="character" w:customStyle="1" w:styleId="33">
    <w:name w:val="标题 6 字符"/>
    <w:basedOn w:val="19"/>
    <w:link w:val="8"/>
    <w:qFormat/>
    <w:uiPriority w:val="9"/>
    <w:rPr>
      <w:rFonts w:ascii="Songti SC" w:hAnsi="Songti SC" w:eastAsia="Songti SC" w:cstheme="majorBidi"/>
      <w:bCs/>
      <w:color w:val="333333"/>
      <w:kern w:val="2"/>
      <w:sz w:val="24"/>
      <w:szCs w:val="24"/>
    </w:rPr>
  </w:style>
  <w:style w:type="character" w:customStyle="1" w:styleId="34">
    <w:name w:val="标题 字符"/>
    <w:basedOn w:val="19"/>
    <w:link w:val="14"/>
    <w:qFormat/>
    <w:uiPriority w:val="10"/>
    <w:rPr>
      <w:rFonts w:asciiTheme="majorHAnsi" w:hAnsiTheme="majorHAnsi" w:eastAsiaTheme="majorEastAsia" w:cstheme="majorBidi"/>
      <w:b/>
      <w:bCs/>
      <w:kern w:val="2"/>
      <w:sz w:val="32"/>
      <w:szCs w:val="32"/>
    </w:rPr>
  </w:style>
  <w:style w:type="paragraph" w:customStyle="1" w:styleId="35">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36">
    <w:name w:val="标题 1 字符"/>
    <w:basedOn w:val="19"/>
    <w:link w:val="3"/>
    <w:qFormat/>
    <w:uiPriority w:val="9"/>
    <w:rPr>
      <w:b/>
      <w:bCs/>
      <w:kern w:val="44"/>
      <w:sz w:val="44"/>
      <w:szCs w:val="44"/>
    </w:rPr>
  </w:style>
  <w:style w:type="paragraph" w:customStyle="1" w:styleId="37">
    <w:name w:val="正文格式"/>
    <w:link w:val="38"/>
    <w:qFormat/>
    <w:uiPriority w:val="0"/>
    <w:pPr>
      <w:spacing w:line="360" w:lineRule="auto"/>
      <w:ind w:firstLine="200" w:firstLineChars="200"/>
      <w:jc w:val="both"/>
    </w:pPr>
    <w:rPr>
      <w:rFonts w:ascii="Times New Roman" w:hAnsi="Times New Roman" w:eastAsia="宋体" w:cs="Times New Roman"/>
      <w:kern w:val="2"/>
      <w:sz w:val="28"/>
      <w:lang w:val="en-US" w:eastAsia="zh-CN" w:bidi="ar-SA"/>
    </w:rPr>
  </w:style>
  <w:style w:type="character" w:customStyle="1" w:styleId="38">
    <w:name w:val="正文格式 Char"/>
    <w:link w:val="37"/>
    <w:qFormat/>
    <w:uiPriority w:val="0"/>
    <w:rPr>
      <w:rFonts w:ascii="Times New Roman" w:hAnsi="Times New Roman" w:eastAsia="宋体" w:cs="Times New Roman"/>
      <w:kern w:val="2"/>
      <w:sz w:val="28"/>
    </w:rPr>
  </w:style>
  <w:style w:type="character" w:customStyle="1" w:styleId="39">
    <w:name w:val="正文文本缩进 字符"/>
    <w:basedOn w:val="19"/>
    <w:link w:val="10"/>
    <w:semiHidden/>
    <w:qFormat/>
    <w:uiPriority w:val="99"/>
    <w:rPr>
      <w:kern w:val="2"/>
      <w:sz w:val="21"/>
      <w:szCs w:val="24"/>
    </w:rPr>
  </w:style>
  <w:style w:type="character" w:customStyle="1" w:styleId="40">
    <w:name w:val="正文文本首行缩进 2 字符"/>
    <w:basedOn w:val="39"/>
    <w:link w:val="16"/>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87E152-0FE4-4013-B352-126EBA8B2CB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609</Words>
  <Characters>3475</Characters>
  <Lines>28</Lines>
  <Paragraphs>8</Paragraphs>
  <TotalTime>166</TotalTime>
  <ScaleCrop>false</ScaleCrop>
  <LinksUpToDate>false</LinksUpToDate>
  <CharactersWithSpaces>4076</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2022-05-18T05:35:00Z</dcterms:created>
  <dc:creator>510410222@qq.com</dc:creator>
  <cp:lastModifiedBy>violet</cp:lastModifiedBy>
  <dcterms:modified xsi:type="dcterms:W3CDTF">2022-05-31T06:00:50Z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