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技术要求：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完成我院病媒生物防制服务工作，将四害密度控制在国家病媒生物密度控制水平标准C级（创卫要求）。、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实施要求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cyan"/>
          <w:lang w:val="en-US" w:eastAsia="zh-CN"/>
        </w:rPr>
        <w:t>1.常规：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每周定时派人到院处置一次，两周完成全院覆盖处置。4-10月开展室外灭蚊蝇工作，冬季不开展。每次到场工作人员不少于2人。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cyan"/>
          <w:lang w:val="en-US" w:eastAsia="zh-CN"/>
        </w:rPr>
        <w:t>2.应急：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科室报告有较严重四害痕迹，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要求24小时内到场处理。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BE4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2022-09-22T03:00:46Z</dcterms:created>
  <dc:creator>zbb</dc:creator>
  <cp:lastModifiedBy>violet</cp:lastModifiedBy>
  <dcterms:modified xsi:type="dcterms:W3CDTF">2022-09-22T03:07:12Z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