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简阳市人民医院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信息集成平台与大数据中心项目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建设需求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/>
          <w:b/>
          <w:sz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Times New Roman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  <w:t>202</w:t>
      </w:r>
      <w:r>
        <w:rPr>
          <w:rFonts w:ascii="微软雅黑" w:hAnsi="微软雅黑" w:eastAsia="微软雅黑" w:cs="Times New Roman"/>
          <w:b/>
          <w:kern w:val="0"/>
          <w:sz w:val="28"/>
          <w:szCs w:val="28"/>
        </w:rPr>
        <w:t>3</w:t>
      </w:r>
      <w:r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  <w:t>年</w:t>
      </w:r>
      <w:r>
        <w:rPr>
          <w:rFonts w:ascii="微软雅黑" w:hAnsi="微软雅黑" w:eastAsia="微软雅黑" w:cs="Times New Roman"/>
          <w:b/>
          <w:kern w:val="0"/>
          <w:sz w:val="28"/>
          <w:szCs w:val="28"/>
        </w:rPr>
        <w:t>1</w:t>
      </w:r>
      <w:r>
        <w:rPr>
          <w:rFonts w:hint="eastAsia" w:ascii="微软雅黑" w:hAnsi="微软雅黑" w:eastAsia="微软雅黑" w:cs="Times New Roman"/>
          <w:b/>
          <w:kern w:val="0"/>
          <w:sz w:val="28"/>
          <w:szCs w:val="28"/>
        </w:rPr>
        <w:t>月</w:t>
      </w:r>
    </w:p>
    <w:p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建设总体要求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测评目标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满足国家卫生计生委统计信息中心发布的《国家医疗健康信息区域（医院）信息互联互通标准化成熟度测评方案（2020年版）》通知相关的测评需求，协助医院达到互联互通测评四级甲等及以上。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满足国家卫生健康委办公厅发布的《电子病历系统应用水平分级评价标准（试行）》通知相关的评级需求，协助医院达到电子病历系统应用评级五级及以上。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满足四川省卫生健康委《四川省三级医院评审标准实施细则（2021年版）》）,要求利用信息化手段开展医疗质量管理工作，要求医院建立基于数据中心的三级医院等级评审指标分析体系，对相关指标进行监测。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国家卫生健康委《国家卫生健康委关于加强公立医院运营管理的指导意见》（国卫财务发2020〕27号）、2019年1月《国务院办公厅关于加强三级公立医院绩效考核工作的意见》中涉及相关三级公立医院绩效考核指标体系要求，对医院提供医疗质量、运行效率、持续发展和满意度评价等55个指标的展示和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国家卫健委发布的《医院智慧管理分级评估标准体系（试行）》、《医院智慧服务分级评估标准体系（试行）》要求，利用智慧管理工具，提升医院管理精细化、智能化水平。建设完善智慧服务信息系统，改善患者就医体验、开展全生命周期健康管理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标准规范要求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本项目建设内容应遵循相关国际国内的行业及技术标准。包括开发过程标准、功能规范、数据标准、建设与管理标准等，主要包括但不限于：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《中国医院信息基本数据集标准》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《卫生信息数据规范指南》</w:t>
      </w:r>
      <w:bookmarkStart w:id="42" w:name="_GoBack"/>
      <w:bookmarkEnd w:id="4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《电子病历基本架构与数据标准》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《国际疾病分类》（ICD-9、ICD-10、ICD-11）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《医学数字化影像通讯标准》DICOM3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《规范化临床医学术语标准》SNOMED CT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《医疗卫生领域信息交换标准》HL7 V3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《临床文档架构》CDA R2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《三级医院医疗质量管理指标体系》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《三级综合医院评审标准》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《卫生综合管理信息平台建设指南》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《医院信息互联互通标准化成熟度测评（2020年版）》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《电子病历系统功能应用水平分级评价方法及标准》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《基于电子病历的医院信息平台技术规范》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《基于电子病历的医院信息平台建设技术解决方案》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《电子病历基本架构和数据标准 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《电子病历基本规范（试行）》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《医院智慧服务分级评估标准体系（试行）》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《医院信息系统基本功能规范》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《卫生系统电子认证服务管理办法（试行）》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《信息安全等级保护管理办法》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《疾病和有关问题的国际统计分类》（ICD-10）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《医院感染监测规范》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《全国儿童保健工作规范（试行）》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《妇幼年报填报说明及指标解释》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《妇幼保健信息系统基本数据集标准》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《观测指标标识符逻辑命名与编码系统》LOINC 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原则性要求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Toc25758796"/>
      <w:bookmarkStart w:id="1" w:name="_Toc67391193"/>
      <w:bookmarkStart w:id="2" w:name="_Toc34076972"/>
      <w:bookmarkStart w:id="3" w:name="_Toc31296"/>
      <w:bookmarkStart w:id="4" w:name="_Toc32424896"/>
      <w:bookmarkStart w:id="5" w:name="_Toc34342800"/>
      <w:bookmarkStart w:id="6" w:name="_Toc27133618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先进实用性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原则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_Toc67391195"/>
      <w:bookmarkStart w:id="8" w:name="_Toc34342802"/>
      <w:bookmarkStart w:id="9" w:name="_Toc27133620"/>
      <w:bookmarkStart w:id="10" w:name="_Toc34076974"/>
      <w:bookmarkStart w:id="11" w:name="_Toc25758798"/>
      <w:bookmarkStart w:id="12" w:name="_Toc32424898"/>
      <w:bookmarkStart w:id="13" w:name="_Toc30888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开放性与扩展性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原则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</w:t>
      </w:r>
      <w:bookmarkStart w:id="14" w:name="_Toc67391196"/>
      <w:bookmarkStart w:id="15" w:name="_Toc32424899"/>
      <w:bookmarkStart w:id="16" w:name="_Toc34076975"/>
      <w:bookmarkStart w:id="17" w:name="_Toc34342803"/>
      <w:bookmarkStart w:id="18" w:name="_Toc25758799"/>
      <w:bookmarkStart w:id="19" w:name="_Toc27133621"/>
      <w:bookmarkStart w:id="20" w:name="_Toc25988"/>
      <w:r>
        <w:rPr>
          <w:rFonts w:hint="eastAsia" w:asciiTheme="minorEastAsia" w:hAnsiTheme="minorEastAsia" w:eastAsiaTheme="minorEastAsia" w:cstheme="minorEastAsia"/>
          <w:sz w:val="24"/>
          <w:szCs w:val="24"/>
        </w:rPr>
        <w:t>化原则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1" w:name="_Toc31954"/>
      <w:bookmarkStart w:id="22" w:name="_Toc34342804"/>
      <w:bookmarkStart w:id="23" w:name="_Toc32424900"/>
      <w:bookmarkStart w:id="24" w:name="_Toc27133622"/>
      <w:bookmarkStart w:id="25" w:name="_Toc34076976"/>
      <w:bookmarkStart w:id="26" w:name="_Toc25758800"/>
      <w:bookmarkStart w:id="27" w:name="_Toc67391197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安全性原则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8" w:name="_Toc34342805"/>
      <w:bookmarkStart w:id="29" w:name="_Toc27133623"/>
      <w:bookmarkStart w:id="30" w:name="_Toc25758801"/>
      <w:bookmarkStart w:id="31" w:name="_Toc32424901"/>
      <w:bookmarkStart w:id="32" w:name="_Toc34076977"/>
      <w:bookmarkStart w:id="33" w:name="_Toc21557"/>
      <w:bookmarkStart w:id="34" w:name="_Toc67391198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可靠性原则</w:t>
      </w:r>
      <w:bookmarkEnd w:id="28"/>
      <w:bookmarkEnd w:id="29"/>
      <w:bookmarkEnd w:id="30"/>
      <w:bookmarkEnd w:id="31"/>
      <w:bookmarkEnd w:id="32"/>
      <w:bookmarkEnd w:id="33"/>
      <w:bookmarkEnd w:id="34"/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outlineLvl w:val="2"/>
        <w:rPr>
          <w:rFonts w:ascii="仿宋_GB2312" w:hAnsi="仿宋_GB2312" w:eastAsia="仿宋_GB2312" w:cs="仿宋_GB2312"/>
          <w:sz w:val="30"/>
          <w:szCs w:val="30"/>
        </w:rPr>
      </w:pPr>
      <w:bookmarkStart w:id="35" w:name="_Toc67391199"/>
      <w:bookmarkStart w:id="36" w:name="_Toc34076978"/>
      <w:bookmarkStart w:id="37" w:name="_Toc34342806"/>
      <w:bookmarkStart w:id="38" w:name="_Toc32424902"/>
      <w:bookmarkStart w:id="39" w:name="_Toc27133624"/>
      <w:bookmarkStart w:id="40" w:name="_Toc4437"/>
      <w:bookmarkStart w:id="41" w:name="_Toc2575880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易用性原则</w:t>
      </w:r>
      <w:bookmarkEnd w:id="35"/>
      <w:bookmarkEnd w:id="36"/>
      <w:bookmarkEnd w:id="37"/>
      <w:bookmarkEnd w:id="38"/>
      <w:bookmarkEnd w:id="39"/>
      <w:bookmarkEnd w:id="40"/>
      <w:bookmarkEnd w:id="41"/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采购清单及要求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本项目建设分为三大类：信息集成平台、大数据中心、测评服务。</w:t>
      </w:r>
      <w:r>
        <w:rPr>
          <w:rFonts w:hint="eastAsia"/>
          <w:sz w:val="24"/>
          <w:highlight w:val="yellow"/>
        </w:rPr>
        <w:t>建设方案</w:t>
      </w:r>
      <w:r>
        <w:rPr>
          <w:rFonts w:hint="eastAsia"/>
          <w:sz w:val="24"/>
          <w:highlight w:val="yellow"/>
          <w:lang w:eastAsia="zh-CN"/>
        </w:rPr>
        <w:t>及清单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>在报名资格审查通过后提供。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商务要求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要求：</w:t>
      </w:r>
      <w:r>
        <w:rPr>
          <w:rFonts w:asciiTheme="minorEastAsia" w:hAnsiTheme="minorEastAsia"/>
          <w:sz w:val="24"/>
        </w:rPr>
        <w:t>本次调研需要提交的</w:t>
      </w:r>
      <w:r>
        <w:rPr>
          <w:rFonts w:hint="eastAsia" w:asciiTheme="minorEastAsia" w:hAnsiTheme="minorEastAsia"/>
          <w:sz w:val="24"/>
          <w:lang w:eastAsia="zh-CN"/>
        </w:rPr>
        <w:t>资料</w:t>
      </w:r>
      <w:r>
        <w:rPr>
          <w:rFonts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请</w:t>
      </w:r>
      <w:r>
        <w:rPr>
          <w:rFonts w:asciiTheme="minorEastAsia" w:hAnsiTheme="minorEastAsia"/>
          <w:sz w:val="24"/>
        </w:rPr>
        <w:t>参与调研公司逐项</w:t>
      </w:r>
      <w:r>
        <w:rPr>
          <w:rFonts w:hint="eastAsia" w:asciiTheme="minorEastAsia" w:hAnsiTheme="minorEastAsia"/>
          <w:sz w:val="24"/>
          <w:lang w:eastAsia="zh-CN"/>
        </w:rPr>
        <w:t>准备</w:t>
      </w:r>
      <w:r>
        <w:rPr>
          <w:rFonts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缺少任何一个，将被视为参与调研资料</w:t>
      </w:r>
      <w:r>
        <w:rPr>
          <w:rFonts w:asciiTheme="minorEastAsia" w:hAnsiTheme="minorEastAsia"/>
          <w:sz w:val="24"/>
        </w:rPr>
        <w:t>不完</w:t>
      </w:r>
      <w:r>
        <w:rPr>
          <w:rFonts w:hint="eastAsia" w:asciiTheme="minorEastAsia" w:hAnsiTheme="minorEastAsia"/>
          <w:sz w:val="24"/>
        </w:rPr>
        <w:t>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4046676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75A6E"/>
    <w:multiLevelType w:val="singleLevel"/>
    <w:tmpl w:val="D5D75A6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C6C2F5F"/>
    <w:multiLevelType w:val="multilevel"/>
    <w:tmpl w:val="DC6C2F5F"/>
    <w:lvl w:ilvl="0" w:tentative="0">
      <w:start w:val="1"/>
      <w:numFmt w:val="decimal"/>
      <w:pStyle w:val="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58EA6486"/>
    <w:multiLevelType w:val="multilevel"/>
    <w:tmpl w:val="58EA6486"/>
    <w:lvl w:ilvl="0" w:tentative="0">
      <w:start w:val="1"/>
      <w:numFmt w:val="decimal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6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991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C84ADB2"/>
    <w:multiLevelType w:val="singleLevel"/>
    <w:tmpl w:val="6C84A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5F74"/>
    <w:rsid w:val="00043060"/>
    <w:rsid w:val="00060F0B"/>
    <w:rsid w:val="00063B3C"/>
    <w:rsid w:val="00084EFD"/>
    <w:rsid w:val="00087446"/>
    <w:rsid w:val="00097222"/>
    <w:rsid w:val="000A5F74"/>
    <w:rsid w:val="000B5AE9"/>
    <w:rsid w:val="000E103D"/>
    <w:rsid w:val="001018BB"/>
    <w:rsid w:val="00111CF1"/>
    <w:rsid w:val="00113939"/>
    <w:rsid w:val="00115A3F"/>
    <w:rsid w:val="001251EB"/>
    <w:rsid w:val="00137949"/>
    <w:rsid w:val="00143F3F"/>
    <w:rsid w:val="001A30B3"/>
    <w:rsid w:val="001F0CA9"/>
    <w:rsid w:val="00232838"/>
    <w:rsid w:val="00250F5E"/>
    <w:rsid w:val="00260FDA"/>
    <w:rsid w:val="00282B42"/>
    <w:rsid w:val="00286B4D"/>
    <w:rsid w:val="0029517A"/>
    <w:rsid w:val="002A20B4"/>
    <w:rsid w:val="002A4387"/>
    <w:rsid w:val="002A7128"/>
    <w:rsid w:val="002A7A63"/>
    <w:rsid w:val="002F0834"/>
    <w:rsid w:val="002F1C79"/>
    <w:rsid w:val="002F6CCC"/>
    <w:rsid w:val="002F7957"/>
    <w:rsid w:val="00311BAB"/>
    <w:rsid w:val="00323BA9"/>
    <w:rsid w:val="0038111D"/>
    <w:rsid w:val="00390EFC"/>
    <w:rsid w:val="003A7228"/>
    <w:rsid w:val="003B22A4"/>
    <w:rsid w:val="003B5CEE"/>
    <w:rsid w:val="003F111B"/>
    <w:rsid w:val="00401FD7"/>
    <w:rsid w:val="00411959"/>
    <w:rsid w:val="00430FC6"/>
    <w:rsid w:val="00446A4C"/>
    <w:rsid w:val="00454628"/>
    <w:rsid w:val="00464EEA"/>
    <w:rsid w:val="004845C6"/>
    <w:rsid w:val="004E7E2D"/>
    <w:rsid w:val="004F4D17"/>
    <w:rsid w:val="00511135"/>
    <w:rsid w:val="00531E58"/>
    <w:rsid w:val="0054068E"/>
    <w:rsid w:val="00554883"/>
    <w:rsid w:val="00591890"/>
    <w:rsid w:val="005D1723"/>
    <w:rsid w:val="00602E61"/>
    <w:rsid w:val="00604843"/>
    <w:rsid w:val="00606940"/>
    <w:rsid w:val="00612B78"/>
    <w:rsid w:val="006675D6"/>
    <w:rsid w:val="00672A99"/>
    <w:rsid w:val="00676B83"/>
    <w:rsid w:val="006915E6"/>
    <w:rsid w:val="00693BDE"/>
    <w:rsid w:val="00714565"/>
    <w:rsid w:val="007473F4"/>
    <w:rsid w:val="00750DC6"/>
    <w:rsid w:val="00751F04"/>
    <w:rsid w:val="00792972"/>
    <w:rsid w:val="007E4D96"/>
    <w:rsid w:val="008221D4"/>
    <w:rsid w:val="0084054E"/>
    <w:rsid w:val="00846D32"/>
    <w:rsid w:val="00893FCF"/>
    <w:rsid w:val="008A1AF0"/>
    <w:rsid w:val="00902158"/>
    <w:rsid w:val="0090348F"/>
    <w:rsid w:val="00911582"/>
    <w:rsid w:val="00917639"/>
    <w:rsid w:val="00924B4A"/>
    <w:rsid w:val="0092548F"/>
    <w:rsid w:val="00946692"/>
    <w:rsid w:val="00970F11"/>
    <w:rsid w:val="009913C6"/>
    <w:rsid w:val="009B6DC0"/>
    <w:rsid w:val="009F327E"/>
    <w:rsid w:val="00A22406"/>
    <w:rsid w:val="00A3349B"/>
    <w:rsid w:val="00A8449E"/>
    <w:rsid w:val="00AA6460"/>
    <w:rsid w:val="00AE0763"/>
    <w:rsid w:val="00AF495B"/>
    <w:rsid w:val="00B12B70"/>
    <w:rsid w:val="00B32379"/>
    <w:rsid w:val="00B639F8"/>
    <w:rsid w:val="00B70D40"/>
    <w:rsid w:val="00B74EC5"/>
    <w:rsid w:val="00B77BB0"/>
    <w:rsid w:val="00B82564"/>
    <w:rsid w:val="00B90311"/>
    <w:rsid w:val="00BA02E3"/>
    <w:rsid w:val="00BB2B15"/>
    <w:rsid w:val="00BB32F3"/>
    <w:rsid w:val="00BC24B9"/>
    <w:rsid w:val="00BE523A"/>
    <w:rsid w:val="00BF407E"/>
    <w:rsid w:val="00C14330"/>
    <w:rsid w:val="00C3034A"/>
    <w:rsid w:val="00C84CDB"/>
    <w:rsid w:val="00C97E75"/>
    <w:rsid w:val="00CD23CF"/>
    <w:rsid w:val="00CE587F"/>
    <w:rsid w:val="00CE6859"/>
    <w:rsid w:val="00D00B8A"/>
    <w:rsid w:val="00D23F2F"/>
    <w:rsid w:val="00D671E5"/>
    <w:rsid w:val="00D925B6"/>
    <w:rsid w:val="00D97D63"/>
    <w:rsid w:val="00DA1419"/>
    <w:rsid w:val="00DA6E32"/>
    <w:rsid w:val="00DB604D"/>
    <w:rsid w:val="00DB7C41"/>
    <w:rsid w:val="00E07639"/>
    <w:rsid w:val="00E20D4B"/>
    <w:rsid w:val="00E54A9B"/>
    <w:rsid w:val="00E919E1"/>
    <w:rsid w:val="00EE01F2"/>
    <w:rsid w:val="00F222C4"/>
    <w:rsid w:val="00F409E1"/>
    <w:rsid w:val="00F50615"/>
    <w:rsid w:val="00F551B1"/>
    <w:rsid w:val="00F577F6"/>
    <w:rsid w:val="00F66E76"/>
    <w:rsid w:val="00F66FFA"/>
    <w:rsid w:val="00F71D49"/>
    <w:rsid w:val="00F87EBB"/>
    <w:rsid w:val="00FB5237"/>
    <w:rsid w:val="00FD1D93"/>
    <w:rsid w:val="00FD5A94"/>
    <w:rsid w:val="00FF4FCB"/>
    <w:rsid w:val="02900CBF"/>
    <w:rsid w:val="041317C4"/>
    <w:rsid w:val="06202D40"/>
    <w:rsid w:val="07F40498"/>
    <w:rsid w:val="14AE0B26"/>
    <w:rsid w:val="17B514CC"/>
    <w:rsid w:val="187C3D68"/>
    <w:rsid w:val="1888270D"/>
    <w:rsid w:val="1A090A19"/>
    <w:rsid w:val="1A4B0A91"/>
    <w:rsid w:val="1B4C7D26"/>
    <w:rsid w:val="1EBC382C"/>
    <w:rsid w:val="205364E3"/>
    <w:rsid w:val="212E1977"/>
    <w:rsid w:val="22F866E1"/>
    <w:rsid w:val="247343DA"/>
    <w:rsid w:val="249E5066"/>
    <w:rsid w:val="27A278C7"/>
    <w:rsid w:val="2AB54EB7"/>
    <w:rsid w:val="2C1005F7"/>
    <w:rsid w:val="2F4E3DF7"/>
    <w:rsid w:val="2FF529D4"/>
    <w:rsid w:val="30CF3BD4"/>
    <w:rsid w:val="323B33E1"/>
    <w:rsid w:val="32DD539F"/>
    <w:rsid w:val="349B511E"/>
    <w:rsid w:val="377771C8"/>
    <w:rsid w:val="389F3874"/>
    <w:rsid w:val="38E2156D"/>
    <w:rsid w:val="3B136C51"/>
    <w:rsid w:val="3B8E778B"/>
    <w:rsid w:val="400A7515"/>
    <w:rsid w:val="403B286B"/>
    <w:rsid w:val="40667DAF"/>
    <w:rsid w:val="424961B9"/>
    <w:rsid w:val="432F1853"/>
    <w:rsid w:val="438B50B9"/>
    <w:rsid w:val="445552E9"/>
    <w:rsid w:val="44E70410"/>
    <w:rsid w:val="4A162E25"/>
    <w:rsid w:val="4A666637"/>
    <w:rsid w:val="4FA7143E"/>
    <w:rsid w:val="52DC6BD6"/>
    <w:rsid w:val="5473120B"/>
    <w:rsid w:val="577D1316"/>
    <w:rsid w:val="58086C47"/>
    <w:rsid w:val="586B07E0"/>
    <w:rsid w:val="59CA254F"/>
    <w:rsid w:val="5A823DC7"/>
    <w:rsid w:val="5AB83A84"/>
    <w:rsid w:val="5B062A42"/>
    <w:rsid w:val="5E1B4A56"/>
    <w:rsid w:val="600050B0"/>
    <w:rsid w:val="60B57F7E"/>
    <w:rsid w:val="629149AC"/>
    <w:rsid w:val="655645C6"/>
    <w:rsid w:val="669F4F69"/>
    <w:rsid w:val="6AED777A"/>
    <w:rsid w:val="6B210A2F"/>
    <w:rsid w:val="6C193E98"/>
    <w:rsid w:val="6C547E10"/>
    <w:rsid w:val="6C634AE7"/>
    <w:rsid w:val="6DDF1772"/>
    <w:rsid w:val="6E132BBD"/>
    <w:rsid w:val="6E8A356B"/>
    <w:rsid w:val="6F805D1B"/>
    <w:rsid w:val="71EA7B53"/>
    <w:rsid w:val="72BF5BE5"/>
    <w:rsid w:val="72C31449"/>
    <w:rsid w:val="730648F9"/>
    <w:rsid w:val="74A15330"/>
    <w:rsid w:val="74B90D42"/>
    <w:rsid w:val="759A22AD"/>
    <w:rsid w:val="79336CA0"/>
    <w:rsid w:val="795046B8"/>
    <w:rsid w:val="79695444"/>
    <w:rsid w:val="7A6F5AB6"/>
    <w:rsid w:val="7A7E22A4"/>
    <w:rsid w:val="7B360315"/>
    <w:rsid w:val="7B711D02"/>
    <w:rsid w:val="7B7A44FA"/>
    <w:rsid w:val="7DA243F4"/>
    <w:rsid w:val="7DF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8">
    <w:name w:val="heading 4"/>
    <w:basedOn w:val="1"/>
    <w:next w:val="1"/>
    <w:unhideWhenUsed/>
    <w:qFormat/>
    <w:uiPriority w:val="9"/>
    <w:pPr>
      <w:keepNext/>
      <w:keepLines/>
      <w:spacing w:before="40" w:after="50" w:line="376" w:lineRule="auto"/>
      <w:outlineLvl w:val="3"/>
    </w:pPr>
    <w:rPr>
      <w:rFonts w:eastAsia="宋体" w:asciiTheme="majorHAnsi" w:hAnsiTheme="majorHAnsi" w:cstheme="majorBidi"/>
      <w:b/>
      <w:bCs/>
      <w:sz w:val="28"/>
      <w:szCs w:val="28"/>
    </w:rPr>
  </w:style>
  <w:style w:type="paragraph" w:styleId="9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next w:val="3"/>
    <w:qFormat/>
    <w:uiPriority w:val="34"/>
    <w:pPr>
      <w:widowControl/>
      <w:ind w:left="720"/>
      <w:contextualSpacing/>
      <w:jc w:val="left"/>
    </w:pPr>
    <w:rPr>
      <w:rFonts w:cs="Times New Roman"/>
      <w:kern w:val="0"/>
      <w:sz w:val="24"/>
    </w:rPr>
  </w:style>
  <w:style w:type="paragraph" w:customStyle="1" w:styleId="21">
    <w:name w:val="04-正文"/>
    <w:qFormat/>
    <w:uiPriority w:val="0"/>
    <w:pPr>
      <w:spacing w:line="360" w:lineRule="exact"/>
      <w:ind w:firstLine="420"/>
    </w:pPr>
    <w:rPr>
      <w:rFonts w:ascii="Times New Roman" w:hAnsi="Times New Roman" w:eastAsia="微软雅黑" w:cs="Times New Roman"/>
      <w:sz w:val="24"/>
      <w:szCs w:val="24"/>
      <w:lang w:val="en-US" w:eastAsia="zh-CN" w:bidi="ar-SA"/>
    </w:rPr>
  </w:style>
  <w:style w:type="character" w:customStyle="1" w:styleId="22">
    <w:name w:val="页眉 Char"/>
    <w:basedOn w:val="15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5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日期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NormalCharacter"/>
    <w:qFormat/>
    <w:uiPriority w:val="0"/>
    <w:rPr>
      <w:kern w:val="2"/>
      <w:sz w:val="21"/>
      <w:lang w:val="en-US" w:eastAsia="zh-CN" w:bidi="ar-SA"/>
    </w:rPr>
  </w:style>
  <w:style w:type="paragraph" w:customStyle="1" w:styleId="27">
    <w:name w:val="1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990C-FC3F-4207-8C4D-3AAAE138A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14</Pages>
  <Words>1172</Words>
  <Characters>6682</Characters>
  <Lines>55</Lines>
  <Paragraphs>15</Paragraphs>
  <TotalTime>0</TotalTime>
  <ScaleCrop>false</ScaleCrop>
  <LinksUpToDate>false</LinksUpToDate>
  <CharactersWithSpaces>7839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2023-01-06T00:32:00Z</dcterms:created>
  <dc:creator>86159</dc:creator>
  <cp:lastModifiedBy>zbb</cp:lastModifiedBy>
  <dcterms:modified xsi:type="dcterms:W3CDTF">2023-01-06T06:04:16Z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F784ED38D808447F995F35CC4C7D7B6E</vt:lpwstr>
  </property>
</Properties>
</file>