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适用范围：</w:t>
      </w:r>
      <w:r>
        <w:rPr>
          <w:rFonts w:hint="eastAsia"/>
          <w:sz w:val="28"/>
          <w:szCs w:val="28"/>
          <w:lang w:val="en-US" w:eastAsia="zh-CN"/>
        </w:rPr>
        <w:t>通过对体表浅表组织的凝固和汽化用于改善皮肤皱纹（抬头纹、鱼尾纹、川字纹、法令纹）、凹陷性痤疮疤痕、毛孔粗大，肤色暗淡，眼周皱纹、颈部细纹、妊娠纹等。</w:t>
      </w:r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功能需求：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MFR黄金微针；MicroRF负压黄金微针；ScanJet蓝极光；FocusRF聚焦无创射频。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70万元</w:t>
      </w:r>
      <w:bookmarkStart w:id="0" w:name="_GoBack"/>
      <w:bookmarkEnd w:id="0"/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4E27"/>
    <w:rsid w:val="29B12F48"/>
    <w:rsid w:val="3B9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2023-06-01T02:00:31Z</dcterms:created>
  <dc:creator>zbb</dc:creator>
  <cp:lastModifiedBy>zbb</cp:lastModifiedBy>
  <dcterms:modified xsi:type="dcterms:W3CDTF">2023-06-01T02:08:02Z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BA0A511CA9E24FF39C058E045A794712</vt:lpwstr>
  </property>
</Properties>
</file>