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w:t>
            </w:r>
            <w:bookmarkStart w:id="1" w:name="_GoBack"/>
            <w:bookmarkEnd w:id="1"/>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B793860"/>
    <w:rsid w:val="3C0D3013"/>
    <w:rsid w:val="3E327C16"/>
    <w:rsid w:val="3F5D7FF5"/>
    <w:rsid w:val="402819DE"/>
    <w:rsid w:val="404E73E9"/>
    <w:rsid w:val="40741FCD"/>
    <w:rsid w:val="429E3216"/>
    <w:rsid w:val="42F2149B"/>
    <w:rsid w:val="430341E1"/>
    <w:rsid w:val="437D0539"/>
    <w:rsid w:val="43D62179"/>
    <w:rsid w:val="441A53A6"/>
    <w:rsid w:val="448E6592"/>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4</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2023-11-17T02:48:14Z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