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lang w:val="en-US" w:eastAsia="zh-CN"/>
        </w:rPr>
        <w:t>简阳市人民医院</w:t>
      </w:r>
      <w:r>
        <w:rPr>
          <w:rFonts w:hint="eastAsia" w:ascii="宋体" w:hAnsi="宋体" w:eastAsia="宋体" w:cs="宋体"/>
          <w:b/>
          <w:bCs/>
          <w:sz w:val="44"/>
          <w:szCs w:val="44"/>
        </w:rPr>
        <w:t>存储</w:t>
      </w:r>
      <w:r>
        <w:rPr>
          <w:rFonts w:hint="eastAsia" w:ascii="宋体" w:hAnsi="宋体" w:eastAsia="宋体" w:cs="宋体"/>
          <w:b/>
          <w:bCs/>
          <w:sz w:val="44"/>
          <w:szCs w:val="44"/>
          <w:lang w:val="en-US" w:eastAsia="zh-CN"/>
        </w:rPr>
        <w:t>设备紧急</w:t>
      </w:r>
      <w:r>
        <w:rPr>
          <w:rFonts w:hint="eastAsia" w:ascii="宋体" w:hAnsi="宋体" w:eastAsia="宋体" w:cs="宋体"/>
          <w:b/>
          <w:bCs/>
          <w:sz w:val="44"/>
          <w:szCs w:val="44"/>
        </w:rPr>
        <w:t>扩容</w:t>
      </w:r>
      <w:r>
        <w:rPr>
          <w:rFonts w:hint="eastAsia" w:ascii="宋体" w:hAnsi="宋体" w:eastAsia="宋体" w:cs="宋体"/>
          <w:b/>
          <w:bCs/>
          <w:sz w:val="44"/>
          <w:szCs w:val="44"/>
          <w:lang w:val="en-US" w:eastAsia="zh-CN"/>
        </w:rPr>
        <w:t>要求</w:t>
      </w:r>
    </w:p>
    <w:bookmarkEnd w:id="0"/>
    <w:p>
      <w:pPr>
        <w:spacing w:before="156" w:beforeLines="50" w:after="156" w:afterLines="50" w:line="360" w:lineRule="auto"/>
        <w:jc w:val="center"/>
        <w:rPr>
          <w:rFonts w:hint="eastAsia" w:ascii="宋体" w:hAnsi="宋体" w:eastAsia="宋体" w:cs="宋体"/>
          <w:b/>
          <w:bCs/>
          <w:sz w:val="44"/>
          <w:szCs w:val="44"/>
          <w:lang w:val="en-US" w:eastAsia="zh-CN"/>
        </w:rPr>
      </w:pP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sz w:val="32"/>
          <w:szCs w:val="32"/>
          <w:lang w:val="en-US" w:eastAsia="zh-CN"/>
        </w:rPr>
        <w:t>因医院业务系统使用要求，医院现急需对现有的</w:t>
      </w:r>
      <w:r>
        <w:rPr>
          <w:rFonts w:hint="eastAsia" w:ascii="仿宋" w:hAnsi="仿宋" w:eastAsia="仿宋" w:cs="仿宋"/>
          <w:b w:val="0"/>
          <w:bCs w:val="0"/>
          <w:color w:val="000000"/>
          <w:kern w:val="0"/>
          <w:sz w:val="32"/>
          <w:szCs w:val="32"/>
        </w:rPr>
        <w:t>Dell EMC Unity 500存储设备</w:t>
      </w:r>
      <w:r>
        <w:rPr>
          <w:rFonts w:hint="eastAsia" w:ascii="仿宋" w:hAnsi="仿宋" w:eastAsia="仿宋" w:cs="仿宋"/>
          <w:b w:val="0"/>
          <w:bCs w:val="0"/>
          <w:color w:val="000000"/>
          <w:kern w:val="0"/>
          <w:sz w:val="32"/>
          <w:szCs w:val="32"/>
          <w:lang w:val="en-US" w:eastAsia="zh-CN"/>
        </w:rPr>
        <w:t>进行紧急扩容，扩容要求如下：</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一、技术和服务要求</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 xml:space="preserve"> ★1、本次扩容是基于医院现有的1台Dell EMC Unity 500存储设备，</w:t>
      </w:r>
      <w:r>
        <w:rPr>
          <w:rFonts w:hint="eastAsia" w:ascii="仿宋" w:hAnsi="仿宋" w:eastAsia="仿宋" w:cs="仿宋"/>
          <w:b w:val="0"/>
          <w:bCs w:val="0"/>
          <w:color w:val="000000"/>
          <w:kern w:val="0"/>
          <w:sz w:val="32"/>
          <w:szCs w:val="32"/>
          <w:lang w:val="en-US" w:eastAsia="zh-CN"/>
        </w:rPr>
        <w:t>要求新扩容的</w:t>
      </w:r>
      <w:r>
        <w:rPr>
          <w:rFonts w:hint="eastAsia" w:ascii="仿宋" w:hAnsi="仿宋" w:eastAsia="仿宋" w:cs="仿宋"/>
          <w:b w:val="0"/>
          <w:bCs w:val="0"/>
          <w:color w:val="000000"/>
          <w:kern w:val="0"/>
          <w:sz w:val="32"/>
          <w:szCs w:val="32"/>
          <w:lang w:val="en-US" w:eastAsia="zh-CN"/>
        </w:rPr>
        <w:t>存储空间</w:t>
      </w:r>
      <w:r>
        <w:rPr>
          <w:rFonts w:hint="eastAsia" w:ascii="仿宋" w:hAnsi="仿宋" w:eastAsia="仿宋" w:cs="仿宋"/>
          <w:b w:val="0"/>
          <w:bCs w:val="0"/>
          <w:color w:val="000000"/>
          <w:kern w:val="0"/>
          <w:sz w:val="32"/>
          <w:szCs w:val="32"/>
          <w:lang w:val="en-US" w:eastAsia="zh-CN"/>
        </w:rPr>
        <w:t>必须和原有的存储空间进行整合并进行统一配置管理。</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★2、要求提供1个25磁盘插槽的存储柜，本次至少需要配置10块 1.6TB</w:t>
      </w:r>
      <w:r>
        <w:rPr>
          <w:rFonts w:hint="eastAsia" w:ascii="仿宋" w:hAnsi="仿宋" w:eastAsia="仿宋" w:cs="仿宋"/>
          <w:b w:val="0"/>
          <w:bCs w:val="0"/>
          <w:color w:val="000000"/>
          <w:kern w:val="0"/>
          <w:sz w:val="32"/>
          <w:szCs w:val="32"/>
          <w:lang w:val="en-US" w:eastAsia="zh-CN"/>
        </w:rPr>
        <w:t xml:space="preserve"> SAS</w:t>
      </w:r>
      <w:r>
        <w:rPr>
          <w:rFonts w:hint="eastAsia" w:ascii="仿宋" w:hAnsi="仿宋" w:eastAsia="仿宋" w:cs="仿宋"/>
          <w:b w:val="0"/>
          <w:bCs w:val="0"/>
          <w:color w:val="000000"/>
          <w:kern w:val="0"/>
          <w:sz w:val="32"/>
          <w:szCs w:val="32"/>
          <w:lang w:val="en-US" w:eastAsia="zh-CN"/>
        </w:rPr>
        <w:t xml:space="preserve">  SSD 2.5寸硬盘，并提供相应的SAS线、电源线等相关配件。</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3、配置自动存储分层软件，可以将本次扩容的高性能全闪存储池和现有的SAS存储池进行存储分层管理，能够根据数据的活动状况，自动将对性能要求较高的活动数据从SAS性能存储池调整到高性能闪存存储池上；可设置迁移策略和指定数据的初始位置；迁移过程多主机透明，无需停机；迁移层数≥3层（SSD，SAS，NL_SAS），迁移粒度粒度≤256MB。</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4、本次新扩容存储空间能够根据业务的需求，灵活通过FC、iSCSI、CIFS、NFS协议进行访问，支持Vvol数据服务。</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5、本次需配置基于Redirect-on-Write技术快照及克隆功能，且数据压缩卷需要支持快照，复制，每个阵列的快照数量≥1000个；本次需配满系统所配容量的该功能许可。如采用非Redirect-on-Write技术，则需额外多配置30%容量。</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6、本次新扩容空间要求支持64位并可创建≥256TB的文件系统，可动态收缩和扩展，支持IP多租户逻辑分割，支持文件保护满足法规遵从SEC 17a-4(f) 规则要求；</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7、配置数据存储无缝迁移功能并提供数据迁移服务，按需将医院数据中心其他DELL EMC存储空间上的应用系统的oracle数据库、sql server数据库等重要数据在线不停机无缝迁移至新扩展的全闪存储空间中，且不破坏现有存储之上的数据。</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8、提供上架安装及配置服务；配合用户对原有存储池进行调整，迁移业务系统数据库、物理机、虚拟机数据至新增空间中，实现整体压力负载均衡。</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二、商务要求</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★1、项目完成时间： 合同签订后5天内。</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★2、付款方式：完成设备的安装调试上线运行15日后（含相应的技术服务）开始验收，验收合格后一次性支付总金额的100%。</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3、其他要求：</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（1）本次采购设备安装地点：简阳市人民医院内。</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（2）对本次采购的设备提供1年的7*24小时硬件保修服务并提供原厂的售后服务承诺函。</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（3）在保修期内，提供每季度的巡检服务，故障维修服务按实际发生情况进行提供。</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（4）医院在签订合同前有权对投标产品进行技术确认，若与投标文件技术参数要求不符，医院会立即终止合同并提请相关部门追究投标人的相应责任。</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5）若本次采购的设备发生故障，中标供应商接到医院故障通知后应在5分钟内响应，进行远程指导或者协助。远程协助无法解决问题的应指派人员1小时内到现场进行检测维修，如维修不涉及零配件更换，应在2小时内修复完毕；如涉及到零配件更换，应在4小时内修复完毕或免费提供同等性能的替用设备。若中标供应商未在规定期限内修复设备而给采购人造成经济损失或者名誉损失，由中标供应商全额承担。</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（6）保修期间如需更换零配件，中标供应商应保证所更换的零配件与原设备相同规格和品质。</w:t>
      </w:r>
    </w:p>
    <w:p>
      <w:pPr>
        <w:spacing w:before="156" w:beforeLines="50" w:after="156" w:afterLines="50" w:line="360" w:lineRule="auto"/>
        <w:ind w:firstLine="640" w:firstLineChars="20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（7）中标供应商在签定合同时应提供投标产品生产厂家对上述技术要求的真实性说明材料原件、投标文件副本和所投全部产品的技术文档（或彩页）等资料给医院确认。</w:t>
      </w:r>
    </w:p>
    <w:p>
      <w:pPr>
        <w:spacing w:before="156" w:beforeLines="50" w:after="156" w:afterLines="50" w:line="360" w:lineRule="auto"/>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rPr>
        <w:t>（8）本项目不仅限于设备采购，还包含与之配套的配件以及相应的服务。</w:t>
      </w:r>
    </w:p>
    <w:p>
      <w:pPr>
        <w:pStyle w:val="2"/>
        <w:spacing w:line="400" w:lineRule="exact"/>
        <w:ind w:firstLine="422" w:firstLineChars="175"/>
        <w:rPr>
          <w:rFonts w:ascii="宋体" w:hAnsi="宋体"/>
          <w:b/>
          <w:bCs/>
          <w:sz w:val="24"/>
        </w:rPr>
      </w:pPr>
      <w:r>
        <w:rPr>
          <w:rFonts w:hint="eastAsia" w:ascii="宋体" w:hAnsi="宋体"/>
          <w:b/>
          <w:bCs/>
          <w:sz w:val="24"/>
          <w:lang w:val="en-US" w:eastAsia="zh-CN"/>
        </w:rPr>
        <w:t>备注</w:t>
      </w:r>
      <w:r>
        <w:rPr>
          <w:rFonts w:hint="eastAsia" w:ascii="宋体" w:hAnsi="宋体"/>
          <w:b/>
          <w:bCs/>
          <w:sz w:val="24"/>
        </w:rPr>
        <w:t>：</w:t>
      </w:r>
    </w:p>
    <w:p>
      <w:pPr>
        <w:pStyle w:val="2"/>
        <w:spacing w:line="400" w:lineRule="exact"/>
        <w:ind w:left="630" w:leftChars="300" w:firstLine="0" w:firstLineChars="0"/>
        <w:rPr>
          <w:rFonts w:ascii="宋体" w:hAnsi="宋体"/>
          <w:b/>
          <w:bCs/>
          <w:sz w:val="24"/>
        </w:rPr>
      </w:pPr>
      <w:r>
        <w:rPr>
          <w:rFonts w:hint="eastAsia" w:ascii="宋体" w:hAnsi="宋体"/>
          <w:b/>
          <w:bCs/>
          <w:sz w:val="24"/>
        </w:rPr>
        <w:t>1、以上打★号的为本次采购项目的实质性要求，不允许有负偏离。</w:t>
      </w:r>
    </w:p>
    <w:p>
      <w:pPr>
        <w:pStyle w:val="2"/>
        <w:spacing w:line="440" w:lineRule="exact"/>
        <w:ind w:left="630" w:leftChars="300" w:firstLine="0" w:firstLineChars="0"/>
        <w:rPr>
          <w:rFonts w:ascii="宋体" w:hAnsi="宋体"/>
          <w:b/>
          <w:bCs/>
          <w:sz w:val="24"/>
        </w:rPr>
      </w:pPr>
      <w:r>
        <w:rPr>
          <w:rFonts w:hint="eastAsia" w:ascii="宋体" w:hAnsi="宋体"/>
          <w:b/>
          <w:bCs/>
          <w:sz w:val="24"/>
        </w:rPr>
        <w:t>2、本次项目为扩容项目，涉及现有系统软硬件均要和原有系统软硬件统一管理，要求整个扩容</w:t>
      </w:r>
      <w:r>
        <w:rPr>
          <w:rFonts w:hint="eastAsia" w:ascii="宋体" w:hAnsi="宋体"/>
          <w:b/>
          <w:bCs/>
          <w:sz w:val="24"/>
          <w:lang w:val="en-US" w:eastAsia="zh-CN"/>
        </w:rPr>
        <w:t>及数据迁移</w:t>
      </w:r>
      <w:r>
        <w:rPr>
          <w:rFonts w:hint="eastAsia" w:ascii="宋体" w:hAnsi="宋体"/>
          <w:b/>
          <w:bCs/>
          <w:sz w:val="24"/>
        </w:rPr>
        <w:t>过程</w:t>
      </w:r>
      <w:r>
        <w:rPr>
          <w:rFonts w:hint="eastAsia" w:ascii="宋体" w:hAnsi="宋体"/>
          <w:b/>
          <w:bCs/>
          <w:sz w:val="24"/>
          <w:lang w:val="en-US" w:eastAsia="zh-CN"/>
        </w:rPr>
        <w:t>中</w:t>
      </w:r>
      <w:r>
        <w:rPr>
          <w:rFonts w:hint="eastAsia" w:ascii="宋体" w:hAnsi="宋体"/>
          <w:b/>
          <w:bCs/>
          <w:sz w:val="24"/>
        </w:rPr>
        <w:t>实现不停机，数据不丢失。</w:t>
      </w:r>
    </w:p>
    <w:p>
      <w:pPr>
        <w:widowControl/>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EF"/>
    <w:rsid w:val="00010156"/>
    <w:rsid w:val="0002308A"/>
    <w:rsid w:val="000326BA"/>
    <w:rsid w:val="0004085C"/>
    <w:rsid w:val="0004709C"/>
    <w:rsid w:val="000844F3"/>
    <w:rsid w:val="00085C60"/>
    <w:rsid w:val="000D4BC3"/>
    <w:rsid w:val="001717F7"/>
    <w:rsid w:val="001C2716"/>
    <w:rsid w:val="001D762C"/>
    <w:rsid w:val="00254FEF"/>
    <w:rsid w:val="002A47A9"/>
    <w:rsid w:val="002F4A49"/>
    <w:rsid w:val="00363556"/>
    <w:rsid w:val="00370EF5"/>
    <w:rsid w:val="00386345"/>
    <w:rsid w:val="003B6E82"/>
    <w:rsid w:val="003C2BE5"/>
    <w:rsid w:val="00400ABC"/>
    <w:rsid w:val="00471048"/>
    <w:rsid w:val="004A5EB2"/>
    <w:rsid w:val="004D01A2"/>
    <w:rsid w:val="004F4BD3"/>
    <w:rsid w:val="00504145"/>
    <w:rsid w:val="00533E60"/>
    <w:rsid w:val="00587BE6"/>
    <w:rsid w:val="005C0F0F"/>
    <w:rsid w:val="006B778C"/>
    <w:rsid w:val="006D601D"/>
    <w:rsid w:val="006F5195"/>
    <w:rsid w:val="007761A0"/>
    <w:rsid w:val="00791FC5"/>
    <w:rsid w:val="007C74F7"/>
    <w:rsid w:val="008460C4"/>
    <w:rsid w:val="0087723D"/>
    <w:rsid w:val="00881DAA"/>
    <w:rsid w:val="00903D9E"/>
    <w:rsid w:val="00905E9A"/>
    <w:rsid w:val="009B66BC"/>
    <w:rsid w:val="009C1421"/>
    <w:rsid w:val="009E367E"/>
    <w:rsid w:val="009E77F2"/>
    <w:rsid w:val="00A07948"/>
    <w:rsid w:val="00B262E1"/>
    <w:rsid w:val="00B44010"/>
    <w:rsid w:val="00B73738"/>
    <w:rsid w:val="00B9063F"/>
    <w:rsid w:val="00BD11CD"/>
    <w:rsid w:val="00C04D74"/>
    <w:rsid w:val="00C2780D"/>
    <w:rsid w:val="00C313CD"/>
    <w:rsid w:val="00C41640"/>
    <w:rsid w:val="00C53234"/>
    <w:rsid w:val="00C80CF3"/>
    <w:rsid w:val="00D56201"/>
    <w:rsid w:val="00D93AF0"/>
    <w:rsid w:val="00E32E80"/>
    <w:rsid w:val="00E93926"/>
    <w:rsid w:val="00F10F2A"/>
    <w:rsid w:val="00F20880"/>
    <w:rsid w:val="00FB3AC3"/>
    <w:rsid w:val="00FD2E20"/>
    <w:rsid w:val="00FF0F12"/>
    <w:rsid w:val="00FF306F"/>
    <w:rsid w:val="6D5A4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link w:val="12"/>
    <w:qFormat/>
    <w:uiPriority w:val="0"/>
    <w:pPr>
      <w:ind w:firstLine="200" w:firstLineChars="200"/>
    </w:pPr>
    <w:rPr>
      <w:szCs w:val="24"/>
    </w:rPr>
  </w:style>
  <w:style w:type="paragraph" w:styleId="3">
    <w:name w:val="annotation text"/>
    <w:basedOn w:val="1"/>
    <w:link w:val="14"/>
    <w:semiHidden/>
    <w:unhideWhenUsed/>
    <w:uiPriority w:val="99"/>
    <w:pPr>
      <w:jc w:val="left"/>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annotation reference"/>
    <w:basedOn w:val="9"/>
    <w:semiHidden/>
    <w:unhideWhenUsed/>
    <w:qFormat/>
    <w:uiPriority w:val="99"/>
    <w:rPr>
      <w:sz w:val="21"/>
      <w:szCs w:val="21"/>
    </w:rPr>
  </w:style>
  <w:style w:type="paragraph" w:customStyle="1" w:styleId="11">
    <w:name w:val="列表段落1"/>
    <w:basedOn w:val="1"/>
    <w:qFormat/>
    <w:uiPriority w:val="34"/>
    <w:pPr>
      <w:ind w:firstLine="420" w:firstLineChars="200"/>
    </w:pPr>
  </w:style>
  <w:style w:type="character" w:customStyle="1" w:styleId="12">
    <w:name w:val="正文缩进 字符"/>
    <w:link w:val="2"/>
    <w:qFormat/>
    <w:uiPriority w:val="0"/>
    <w:rPr>
      <w:rFonts w:ascii="Calibri" w:hAnsi="Calibri" w:eastAsia="宋体" w:cs="Times New Roman"/>
      <w:szCs w:val="24"/>
    </w:rPr>
  </w:style>
  <w:style w:type="paragraph" w:styleId="13">
    <w:name w:val="List Paragraph"/>
    <w:basedOn w:val="1"/>
    <w:qFormat/>
    <w:uiPriority w:val="34"/>
    <w:pPr>
      <w:ind w:firstLine="420" w:firstLineChars="200"/>
    </w:pPr>
  </w:style>
  <w:style w:type="character" w:customStyle="1" w:styleId="14">
    <w:name w:val="批注文字 字符"/>
    <w:basedOn w:val="9"/>
    <w:link w:val="3"/>
    <w:semiHidden/>
    <w:uiPriority w:val="99"/>
    <w:rPr>
      <w:rFonts w:ascii="Calibri" w:hAnsi="Calibri" w:eastAsia="宋体" w:cs="Times New Roman"/>
    </w:rPr>
  </w:style>
  <w:style w:type="character" w:customStyle="1" w:styleId="15">
    <w:name w:val="批注主题 字符"/>
    <w:basedOn w:val="14"/>
    <w:link w:val="6"/>
    <w:semiHidden/>
    <w:qFormat/>
    <w:uiPriority w:val="99"/>
    <w:rPr>
      <w:rFonts w:ascii="Calibri" w:hAnsi="Calibri" w:eastAsia="宋体" w:cs="Times New Roman"/>
      <w:b/>
      <w:bCs/>
    </w:rPr>
  </w:style>
  <w:style w:type="character" w:customStyle="1" w:styleId="16">
    <w:name w:val="页眉 字符"/>
    <w:basedOn w:val="9"/>
    <w:link w:val="5"/>
    <w:qFormat/>
    <w:uiPriority w:val="99"/>
    <w:rPr>
      <w:rFonts w:ascii="Calibri" w:hAnsi="Calibri" w:eastAsia="宋体" w:cs="Times New Roman"/>
      <w:sz w:val="18"/>
      <w:szCs w:val="18"/>
    </w:rPr>
  </w:style>
  <w:style w:type="character" w:customStyle="1" w:styleId="17">
    <w:name w:val="页脚 字符"/>
    <w:basedOn w:val="9"/>
    <w:link w:val="4"/>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2DAD07-4F47-4801-9D94-7AB1A49FD3A6}">
  <ds:schemaRefs/>
</ds:datastoreItem>
</file>

<file path=docProps/app.xml><?xml version="1.0" encoding="utf-8"?>
<Properties xmlns="http://schemas.openxmlformats.org/officeDocument/2006/extended-properties" xmlns:vt="http://schemas.openxmlformats.org/officeDocument/2006/docPropsVTypes">
  <Template>Normal</Template>
  <Pages>2</Pages>
  <Words>239</Words>
  <Characters>1366</Characters>
  <Lines>11</Lines>
  <Paragraphs>3</Paragraphs>
  <TotalTime>4</TotalTime>
  <ScaleCrop>false</ScaleCrop>
  <LinksUpToDate>false</LinksUpToDate>
  <CharactersWithSpaces>1602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2023-12-02T08:25:00Z</dcterms:created>
  <dc:creator>诸神的黄昏</dc:creator>
  <cp:lastModifiedBy>消失的城堡</cp:lastModifiedBy>
  <dcterms:modified xsi:type="dcterms:W3CDTF">2023-12-02T13:14:54Z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