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textAlignment w:val="baseline"/>
        <w:rPr>
          <w:rFonts w:hint="default" w:ascii="仿宋_GB2312" w:hAnsi="宋体" w:eastAsia="仿宋_GB2312" w:cs="宋体"/>
          <w:kern w:val="0"/>
          <w:sz w:val="32"/>
          <w:szCs w:val="19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项目概况：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涉及品类为书籍、文具用品和体育用品。文具用品包括笔、笔记本等日常办公产品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体育用品包括篮球、足球、羽毛球等体育运动的服饰及相关用品。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供应商家数：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1家。</w:t>
      </w:r>
      <w:bookmarkStart w:id="0" w:name="_GoBack"/>
      <w:bookmarkEnd w:id="0"/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供应商资格及条件：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投标供应商应取得相应商品的经营资质；投标供应商需具有</w:t>
      </w:r>
      <w:r>
        <w:rPr>
          <w:rFonts w:hint="eastAsia" w:ascii="仿宋_GB2312" w:hAnsi="宋体" w:eastAsia="仿宋_GB2312" w:cs="宋体"/>
          <w:kern w:val="0"/>
          <w:sz w:val="32"/>
          <w:szCs w:val="19"/>
          <w:lang w:val="en-US" w:eastAsia="zh-CN"/>
        </w:rPr>
        <w:t>书籍、文具用品和体育用品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供货能力；投标供应商应具备快速配送能力，一般物品在48小时内配送到医院指定地点，急需物品在8小时内配送到医院指定地点。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验收标准：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符合国家行业标准规范要求。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报价：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按折扣率（XX%）进行报价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结算单价：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按供应商所报折扣率（XX%）乘以供货时京东商城京东自营店该商品零售价格进行结算。</w:t>
      </w:r>
    </w:p>
    <w:p>
      <w:pPr>
        <w:widowControl/>
        <w:spacing w:line="408" w:lineRule="atLeast"/>
        <w:jc w:val="left"/>
        <w:textAlignment w:val="baseline"/>
        <w:rPr>
          <w:rFonts w:hint="eastAsia" w:ascii="仿宋_GB2312" w:hAnsi="宋体" w:eastAsia="仿宋_GB2312" w:cs="宋体"/>
          <w:kern w:val="0"/>
          <w:sz w:val="32"/>
          <w:szCs w:val="19"/>
        </w:rPr>
      </w:pPr>
      <w:r>
        <w:rPr>
          <w:rFonts w:hint="eastAsia" w:ascii="黑体" w:hAnsi="黑体" w:eastAsia="黑体" w:cs="宋体"/>
          <w:kern w:val="0"/>
          <w:sz w:val="32"/>
          <w:szCs w:val="19"/>
        </w:rPr>
        <w:t>定点采购服务期限：</w:t>
      </w:r>
      <w:r>
        <w:rPr>
          <w:rFonts w:hint="eastAsia" w:ascii="仿宋_GB2312" w:hAnsi="宋体" w:eastAsia="仿宋_GB2312" w:cs="宋体"/>
          <w:kern w:val="0"/>
          <w:sz w:val="32"/>
          <w:szCs w:val="19"/>
        </w:rPr>
        <w:t>服务期共3年，合同一年一签，根据供应商提供商品及服务质量进行考核，达到医院采购需求进行合同续签。</w:t>
      </w:r>
    </w:p>
    <w:p>
      <w:r>
        <w:rPr>
          <w:rFonts w:hint="eastAsia" w:ascii="仿宋_GB2312" w:hAnsi="宋体" w:eastAsia="仿宋_GB2312" w:cs="宋体"/>
          <w:kern w:val="0"/>
          <w:sz w:val="32"/>
          <w:szCs w:val="19"/>
        </w:rPr>
        <w:t>本项目不接受联合体投标。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443D6"/>
    <w:rsid w:val="3C7443D6"/>
    <w:rsid w:val="6CDE69DF"/>
    <w:rsid w:val="77C7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2023-12-26T05:49:00Z</dcterms:created>
  <dc:creator>violet</dc:creator>
  <cp:lastModifiedBy>violet</cp:lastModifiedBy>
  <cp:lastPrinted>2023-12-26T06:48:30Z</cp:lastPrinted>
  <dcterms:modified xsi:type="dcterms:W3CDTF">2023-12-26T06:48:35Z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789D644F2CDE435B9D7F81DFBD0A0ED6</vt:lpwstr>
  </property>
</Properties>
</file>