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清</w:t>
      </w:r>
      <w:r>
        <w:rPr>
          <w:rFonts w:hint="eastAsia" w:asciiTheme="minorEastAsia" w:hAnsiTheme="minorEastAsia" w:cstheme="minorEastAsia"/>
          <w:sz w:val="24"/>
          <w:szCs w:val="32"/>
          <w:lang w:val="en-US" w:eastAsia="zh-CN"/>
        </w:rPr>
        <w:t>洗范围及面积</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3624"/>
        <w:gridCol w:w="3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3"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序号</w:t>
            </w:r>
          </w:p>
        </w:tc>
        <w:tc>
          <w:tcPr>
            <w:tcW w:w="3624"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地点</w:t>
            </w:r>
          </w:p>
        </w:tc>
        <w:tc>
          <w:tcPr>
            <w:tcW w:w="3955"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3" w:type="dxa"/>
            <w:vAlign w:val="center"/>
          </w:tcPr>
          <w:p>
            <w:pPr>
              <w:numPr>
                <w:ilvl w:val="0"/>
                <w:numId w:val="0"/>
              </w:numPr>
              <w:jc w:val="center"/>
              <w:rPr>
                <w:rFonts w:hint="default"/>
                <w:vertAlign w:val="baseline"/>
                <w:lang w:val="en-US" w:eastAsia="zh-CN"/>
              </w:rPr>
            </w:pPr>
            <w:r>
              <w:rPr>
                <w:rFonts w:hint="eastAsia"/>
                <w:vertAlign w:val="baseline"/>
                <w:lang w:val="en-US" w:eastAsia="zh-CN"/>
              </w:rPr>
              <w:t>1</w:t>
            </w:r>
          </w:p>
        </w:tc>
        <w:tc>
          <w:tcPr>
            <w:tcW w:w="3624" w:type="dxa"/>
            <w:vAlign w:val="center"/>
          </w:tcPr>
          <w:p>
            <w:pPr>
              <w:numPr>
                <w:ilvl w:val="0"/>
                <w:numId w:val="0"/>
              </w:numPr>
              <w:jc w:val="center"/>
              <w:rPr>
                <w:rFonts w:hint="default"/>
                <w:vertAlign w:val="baseline"/>
                <w:lang w:val="en-US" w:eastAsia="zh-CN"/>
              </w:rPr>
            </w:pPr>
            <w:r>
              <w:rPr>
                <w:rFonts w:hint="eastAsia"/>
                <w:vertAlign w:val="baseline"/>
                <w:lang w:val="en-US" w:eastAsia="zh-CN"/>
              </w:rPr>
              <w:t>门急诊医技大楼外墙</w:t>
            </w:r>
          </w:p>
        </w:tc>
        <w:tc>
          <w:tcPr>
            <w:tcW w:w="3955" w:type="dxa"/>
            <w:vAlign w:val="center"/>
          </w:tcPr>
          <w:p>
            <w:pPr>
              <w:numPr>
                <w:ilvl w:val="0"/>
                <w:numId w:val="0"/>
              </w:numPr>
              <w:jc w:val="center"/>
              <w:rPr>
                <w:rFonts w:hint="default"/>
                <w:vertAlign w:val="baseline"/>
                <w:lang w:val="en-US" w:eastAsia="zh-CN"/>
              </w:rPr>
            </w:pPr>
            <w:r>
              <w:rPr>
                <w:rFonts w:hint="eastAsia"/>
                <w:vertAlign w:val="baseline"/>
                <w:lang w:val="en-US" w:eastAsia="zh-CN"/>
              </w:rPr>
              <w:t>约27153㎡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3" w:type="dxa"/>
            <w:vAlign w:val="center"/>
          </w:tcPr>
          <w:p>
            <w:pPr>
              <w:numPr>
                <w:ilvl w:val="0"/>
                <w:numId w:val="0"/>
              </w:numPr>
              <w:jc w:val="center"/>
              <w:rPr>
                <w:rFonts w:hint="default"/>
                <w:vertAlign w:val="baseline"/>
                <w:lang w:val="en-US" w:eastAsia="zh-CN"/>
              </w:rPr>
            </w:pPr>
            <w:r>
              <w:rPr>
                <w:rFonts w:hint="eastAsia"/>
                <w:vertAlign w:val="baseline"/>
                <w:lang w:val="en-US" w:eastAsia="zh-CN"/>
              </w:rPr>
              <w:t>2</w:t>
            </w:r>
          </w:p>
        </w:tc>
        <w:tc>
          <w:tcPr>
            <w:tcW w:w="3624" w:type="dxa"/>
            <w:vAlign w:val="center"/>
          </w:tcPr>
          <w:p>
            <w:pPr>
              <w:numPr>
                <w:ilvl w:val="0"/>
                <w:numId w:val="0"/>
              </w:numPr>
              <w:jc w:val="center"/>
              <w:rPr>
                <w:rFonts w:hint="default"/>
                <w:vertAlign w:val="baseline"/>
                <w:lang w:val="en-US" w:eastAsia="zh-CN"/>
              </w:rPr>
            </w:pPr>
            <w:r>
              <w:rPr>
                <w:rFonts w:hint="eastAsia"/>
                <w:vertAlign w:val="baseline"/>
                <w:lang w:val="en-US" w:eastAsia="zh-CN"/>
              </w:rPr>
              <w:t>住院大楼墙裙及玻璃</w:t>
            </w:r>
          </w:p>
        </w:tc>
        <w:tc>
          <w:tcPr>
            <w:tcW w:w="3955" w:type="dxa"/>
            <w:vAlign w:val="center"/>
          </w:tcPr>
          <w:p>
            <w:pPr>
              <w:numPr>
                <w:ilvl w:val="0"/>
                <w:numId w:val="0"/>
              </w:numPr>
              <w:jc w:val="center"/>
              <w:rPr>
                <w:rFonts w:hint="default"/>
                <w:vertAlign w:val="baseline"/>
                <w:lang w:val="en-US" w:eastAsia="zh-CN"/>
              </w:rPr>
            </w:pPr>
            <w:r>
              <w:rPr>
                <w:rFonts w:hint="eastAsia"/>
                <w:vertAlign w:val="baseline"/>
                <w:lang w:val="en-US" w:eastAsia="zh-CN"/>
              </w:rPr>
              <w:t>约12293㎡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3" w:type="dxa"/>
            <w:vAlign w:val="center"/>
          </w:tcPr>
          <w:p>
            <w:pPr>
              <w:numPr>
                <w:ilvl w:val="0"/>
                <w:numId w:val="0"/>
              </w:numPr>
              <w:jc w:val="center"/>
              <w:rPr>
                <w:rFonts w:hint="default"/>
                <w:vertAlign w:val="baseline"/>
                <w:lang w:val="en-US" w:eastAsia="zh-CN"/>
              </w:rPr>
            </w:pPr>
            <w:r>
              <w:rPr>
                <w:rFonts w:hint="eastAsia"/>
                <w:vertAlign w:val="baseline"/>
                <w:lang w:val="en-US" w:eastAsia="zh-CN"/>
              </w:rPr>
              <w:t>3</w:t>
            </w:r>
          </w:p>
        </w:tc>
        <w:tc>
          <w:tcPr>
            <w:tcW w:w="3624" w:type="dxa"/>
            <w:vAlign w:val="center"/>
          </w:tcPr>
          <w:p>
            <w:pPr>
              <w:numPr>
                <w:ilvl w:val="0"/>
                <w:numId w:val="0"/>
              </w:numPr>
              <w:jc w:val="center"/>
              <w:rPr>
                <w:rFonts w:hint="default"/>
                <w:vertAlign w:val="baseline"/>
                <w:lang w:val="en-US" w:eastAsia="zh-CN"/>
              </w:rPr>
            </w:pPr>
            <w:r>
              <w:rPr>
                <w:rFonts w:hint="eastAsia"/>
                <w:vertAlign w:val="baseline"/>
                <w:lang w:val="en-US" w:eastAsia="zh-CN"/>
              </w:rPr>
              <w:t>其他建筑外墙</w:t>
            </w:r>
          </w:p>
        </w:tc>
        <w:tc>
          <w:tcPr>
            <w:tcW w:w="3955" w:type="dxa"/>
            <w:vAlign w:val="center"/>
          </w:tcPr>
          <w:p>
            <w:pPr>
              <w:numPr>
                <w:ilvl w:val="0"/>
                <w:numId w:val="0"/>
              </w:numPr>
              <w:jc w:val="center"/>
              <w:rPr>
                <w:rFonts w:hint="eastAsia"/>
                <w:vertAlign w:val="baseline"/>
                <w:lang w:val="en-US" w:eastAsia="zh-CN"/>
              </w:rPr>
            </w:pPr>
            <w:r>
              <w:rPr>
                <w:rFonts w:hint="eastAsia"/>
                <w:vertAlign w:val="baseline"/>
                <w:lang w:val="en-US" w:eastAsia="zh-CN"/>
              </w:rPr>
              <w:t>约17749㎡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7" w:type="dxa"/>
            <w:gridSpan w:val="2"/>
            <w:vAlign w:val="center"/>
          </w:tcPr>
          <w:p>
            <w:pPr>
              <w:numPr>
                <w:ilvl w:val="0"/>
                <w:numId w:val="0"/>
              </w:numPr>
              <w:jc w:val="center"/>
              <w:rPr>
                <w:rFonts w:hint="default"/>
                <w:vertAlign w:val="baseline"/>
                <w:lang w:val="en-US" w:eastAsia="zh-CN"/>
              </w:rPr>
            </w:pPr>
            <w:r>
              <w:rPr>
                <w:rFonts w:hint="eastAsia"/>
                <w:vertAlign w:val="baseline"/>
                <w:lang w:val="en-US" w:eastAsia="zh-CN"/>
              </w:rPr>
              <w:t>合计：</w:t>
            </w:r>
          </w:p>
        </w:tc>
        <w:tc>
          <w:tcPr>
            <w:tcW w:w="3955" w:type="dxa"/>
            <w:vAlign w:val="center"/>
          </w:tcPr>
          <w:p>
            <w:pPr>
              <w:numPr>
                <w:ilvl w:val="0"/>
                <w:numId w:val="0"/>
              </w:numPr>
              <w:jc w:val="center"/>
              <w:rPr>
                <w:rFonts w:hint="default"/>
                <w:vertAlign w:val="baseline"/>
                <w:lang w:val="en-US" w:eastAsia="zh-CN"/>
              </w:rPr>
            </w:pPr>
            <w:r>
              <w:rPr>
                <w:rFonts w:hint="eastAsia"/>
                <w:vertAlign w:val="baseline"/>
                <w:lang w:val="en-US" w:eastAsia="zh-CN"/>
              </w:rPr>
              <w:t>约57195㎡</w:t>
            </w:r>
          </w:p>
        </w:tc>
      </w:tr>
    </w:tbl>
    <w:p>
      <w:pPr>
        <w:numPr>
          <w:ilvl w:val="0"/>
          <w:numId w:val="0"/>
        </w:numPr>
        <w:rPr>
          <w:rFonts w:hint="default"/>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具有外墙清洗的相关资质</w:t>
      </w:r>
      <w:r>
        <w:rPr>
          <w:rFonts w:hint="eastAsia" w:asciiTheme="minorEastAsia" w:hAnsiTheme="minorEastAsia" w:eastAsiaTheme="minorEastAsia" w:cstheme="minorEastAsia"/>
          <w:sz w:val="24"/>
          <w:szCs w:val="32"/>
          <w:lang w:val="en-US" w:eastAsia="zh-CN"/>
        </w:rPr>
        <w:t>。门急诊医技大楼外墙</w:t>
      </w:r>
      <w:r>
        <w:rPr>
          <w:rFonts w:hint="eastAsia" w:asciiTheme="minorEastAsia" w:hAnsiTheme="minorEastAsia" w:cstheme="minorEastAsia"/>
          <w:sz w:val="24"/>
          <w:szCs w:val="32"/>
          <w:lang w:val="en-US" w:eastAsia="zh-CN"/>
        </w:rPr>
        <w:t>是保温一体板，有此类外墙清洗经验的公司优先。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要求清洗过程中外墙、幕墙无碰撞损坏。涂料外墙无明显污垢，色泽总体一致，基本无污垢引起的变色。玻璃幕墙、窗玻璃明亮，无明显污垢，水渍挂干。</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4"/>
          <w:szCs w:val="32"/>
          <w:highlight w:val="none"/>
          <w:shd w:val="clear" w:color="auto" w:fill="auto"/>
          <w:lang w:val="en-US" w:eastAsia="zh-CN"/>
        </w:rPr>
      </w:pPr>
      <w:r>
        <w:rPr>
          <w:rFonts w:hint="eastAsia" w:asciiTheme="minorEastAsia" w:hAnsiTheme="minorEastAsia" w:cstheme="minorEastAsia"/>
          <w:color w:val="auto"/>
          <w:sz w:val="24"/>
          <w:szCs w:val="32"/>
          <w:highlight w:val="none"/>
          <w:shd w:val="clear" w:color="auto" w:fill="auto"/>
          <w:lang w:val="en-US" w:eastAsia="zh-CN"/>
        </w:rPr>
        <w:t>房屋周边有绿化植物的，在清洗外墙过程中必须对绿化植物及花池进行遮蔽，避免外墙清洗污水滴落绿化植物表面和流入花池内对绿化造成损伤和致死，如因清洗污水造成绿化植物死亡或损毁，需负责进行修复或更换。以上涉及的措施及费用均包含在投标报价中。</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4"/>
          <w:szCs w:val="32"/>
          <w:highlight w:val="none"/>
          <w:shd w:val="clear" w:color="auto" w:fill="auto"/>
          <w:lang w:val="en-US" w:eastAsia="zh-CN"/>
        </w:rPr>
      </w:pPr>
      <w:r>
        <w:rPr>
          <w:rFonts w:hint="eastAsia" w:asciiTheme="minorEastAsia" w:hAnsiTheme="minorEastAsia" w:cstheme="minorEastAsia"/>
          <w:color w:val="auto"/>
          <w:sz w:val="24"/>
          <w:szCs w:val="32"/>
          <w:highlight w:val="none"/>
          <w:shd w:val="clear" w:color="auto" w:fill="auto"/>
          <w:lang w:val="en-US" w:eastAsia="zh-CN"/>
        </w:rPr>
        <w:t>清洗验收合格后支付90%的款项，两个月后绿化植物正常再付剩下的10%的尾款。</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290A63"/>
    <w:multiLevelType w:val="singleLevel"/>
    <w:tmpl w:val="A8290A6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03F51"/>
    <w:rsid w:val="43D13F88"/>
    <w:rsid w:val="45526193"/>
    <w:rsid w:val="4C1F7931"/>
    <w:rsid w:val="588F02E0"/>
    <w:rsid w:val="786F3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2024-01-03T06:57:00Z</dcterms:created>
  <dc:creator>zbb</dc:creator>
  <cp:lastModifiedBy>violet</cp:lastModifiedBy>
  <cp:lastPrinted>2024-01-03T07:30:00Z</cp:lastPrinted>
  <dcterms:modified xsi:type="dcterms:W3CDTF">2024-01-04T05:44:08Z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05EFB108696F401183F23FDAB78341E6</vt:lpwstr>
  </property>
</Properties>
</file>