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基于</w:t>
      </w:r>
      <w:r>
        <w:rPr>
          <w:rFonts w:hint="eastAsia" w:ascii="方正小标宋简体" w:hAnsi="方正小标宋简体" w:eastAsia="方正小标宋简体" w:cs="方正小标宋简体"/>
          <w:b/>
          <w:bCs/>
          <w:sz w:val="44"/>
          <w:szCs w:val="44"/>
        </w:rPr>
        <w:t>疾病诊疗路径的精细化管理平台</w:t>
      </w:r>
    </w:p>
    <w:p>
      <w:pPr>
        <w:jc w:val="center"/>
        <w:rPr>
          <w:rFonts w:hint="default"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建设需求</w:t>
      </w:r>
      <w:bookmarkStart w:id="1" w:name="_GoBack"/>
      <w:bookmarkEnd w:id="1"/>
    </w:p>
    <w:p>
      <w:pPr>
        <w:numPr>
          <w:ilvl w:val="0"/>
          <w:numId w:val="2"/>
        </w:numPr>
        <w:rPr>
          <w:rFonts w:hint="eastAsia" w:ascii="黑体" w:hAnsi="黑体" w:eastAsia="黑体" w:cs="黑体"/>
          <w:b/>
          <w:bCs/>
          <w:sz w:val="32"/>
          <w:szCs w:val="32"/>
        </w:rPr>
      </w:pPr>
      <w:r>
        <w:rPr>
          <w:rFonts w:hint="eastAsia" w:ascii="黑体" w:hAnsi="黑体" w:eastAsia="黑体" w:cs="黑体"/>
          <w:b/>
          <w:bCs/>
          <w:sz w:val="32"/>
          <w:szCs w:val="32"/>
        </w:rPr>
        <w:t>总体思路</w:t>
      </w:r>
    </w:p>
    <w:p>
      <w:pPr>
        <w:pStyle w:val="4"/>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医保局和卫健委相关政策要求，构建新医保支付体系下院内病案事前预分组、事中费用管控、事后成本核算以及常见疾病诊疗路径标准化、基于绩效考核的医院精细化运营管理体系，着力解决新支付方式下医院所面临的成本精细管控和营收结构调整的痛点难点，帮助临床科室和医务人员更好地适应医保付费政策的变化，持续提升医疗资源的使用效能，实现全院学科建设的均衡、可持续发展。</w:t>
      </w:r>
    </w:p>
    <w:p>
      <w:pPr>
        <w:pStyle w:val="4"/>
        <w:numPr>
          <w:ilvl w:val="0"/>
          <w:numId w:val="2"/>
        </w:numPr>
        <w:ind w:firstLine="0" w:firstLineChars="0"/>
        <w:rPr>
          <w:rFonts w:hint="eastAsia" w:ascii="黑体" w:hAnsi="黑体" w:eastAsia="黑体" w:cs="黑体"/>
          <w:b/>
          <w:bCs/>
          <w:sz w:val="32"/>
          <w:szCs w:val="32"/>
        </w:rPr>
      </w:pPr>
      <w:r>
        <w:rPr>
          <w:rFonts w:hint="eastAsia" w:ascii="黑体" w:hAnsi="黑体" w:eastAsia="黑体" w:cs="黑体"/>
          <w:b/>
          <w:bCs/>
          <w:sz w:val="32"/>
          <w:szCs w:val="32"/>
        </w:rPr>
        <w:t>建设需求</w:t>
      </w:r>
    </w:p>
    <w:p>
      <w:pPr>
        <w:pStyle w:val="4"/>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基于上述思路，我院将着力建设医疗服务全流程费用管控体系、全过程诊疗路径管理体系以及全方位服务成本核算体系，主要内容如下：</w:t>
      </w:r>
    </w:p>
    <w:p>
      <w:pPr>
        <w:pStyle w:val="2"/>
        <w:spacing w:before="0" w:after="0" w:line="360" w:lineRule="auto"/>
        <w:rPr>
          <w:rFonts w:hint="eastAsia" w:ascii="仿宋_GB2312" w:hAnsi="仿宋_GB2312" w:eastAsia="仿宋_GB2312" w:cs="仿宋_GB2312"/>
          <w:b w:val="0"/>
          <w:bCs w:val="0"/>
          <w:sz w:val="32"/>
        </w:rPr>
      </w:pPr>
      <w:bookmarkStart w:id="0" w:name="_Toc77597292"/>
      <w:r>
        <w:rPr>
          <w:rFonts w:hint="eastAsia" w:ascii="仿宋_GB2312" w:hAnsi="仿宋_GB2312" w:eastAsia="仿宋_GB2312" w:cs="仿宋_GB2312"/>
          <w:b w:val="0"/>
          <w:bCs w:val="0"/>
          <w:sz w:val="32"/>
        </w:rPr>
        <w:t>全流程医疗费用</w:t>
      </w:r>
      <w:bookmarkEnd w:id="0"/>
      <w:r>
        <w:rPr>
          <w:rFonts w:hint="eastAsia" w:ascii="仿宋_GB2312" w:hAnsi="仿宋_GB2312" w:eastAsia="仿宋_GB2312" w:cs="仿宋_GB2312"/>
          <w:b w:val="0"/>
          <w:bCs w:val="0"/>
          <w:sz w:val="32"/>
        </w:rPr>
        <w:t>管控体系</w:t>
      </w:r>
    </w:p>
    <w:p>
      <w:pPr>
        <w:pStyle w:val="4"/>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省医保CHS-DRG和市医保DRG的分组标准规范，研发升级我院多标准兼容的分组体系，打通院内HIS系统、病案系统、HRP系统等关联信息系统，实现医疗服务过程数据的同步；同时，在自动识别参保患者身份和待遇资格的情况下，智能匹配省医保/市医保付费政策，以成都市同级别部分医疗机构病组标杆数据为参考，提供事前集成病案清单双质控、DRG分组和医保付费预测,事中医疗费用预警和资源消耗管理，以及事后病案双质控、付费盈亏分析、区域绩效评价等，进一步提升我院医疗费用管控的及时性、全面性和精准度。</w:t>
      </w:r>
    </w:p>
    <w:p>
      <w:pPr>
        <w:pStyle w:val="2"/>
        <w:spacing w:before="0" w:after="0" w:line="360" w:lineRule="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全过程诊疗路径管理体系</w:t>
      </w:r>
    </w:p>
    <w:p>
      <w:pPr>
        <w:pStyle w:val="4"/>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医学统计学、临床诊断学、临床路径等权威知识为依据，运用大数据、AI人工智能等先进技术，从区域海量的医疗服务全过程数据中提炼出最小疾病单元的诊疗路径，经我院专家人员的评审后再应用于临床诊疗辅助、医疗质量控制、费用结构优化、病案编码提升等业务，进一步规范我院医疗服务行为，有效控制医疗费用。</w:t>
      </w:r>
    </w:p>
    <w:p>
      <w:pPr>
        <w:pStyle w:val="2"/>
        <w:spacing w:before="0" w:after="0" w:line="360" w:lineRule="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全方位服务成本核算体系</w:t>
      </w:r>
    </w:p>
    <w:p>
      <w:pPr>
        <w:pStyle w:val="4"/>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医疗服务为核心，开展面向核心服务的行政管理、人力资源、医技服务、物资消耗、资产折损等全方位成本核算，以“临床特征相似性”和“资源消耗相近性”为切入点，以我院HRP成本核算系统中各科室成本核算数据为支撑，按照病种/病组成本核算规范，在DRG分组的基础上，开展病组成本费用结构的层次化分析，分别从科间差异、组间差异、疾病难易程度差异、医保付费标准等维度，对病种/病组成本收益、科室/人员服务效益、费用结构/资源配置合理性等进行综合分析，强化以价值医疗为导向，指导我院优化临床科室收入结构，主动降本降耗，合理分配医疗资源，共建医保患“三方共赢”长期可持续发展的新局面。</w:t>
      </w:r>
    </w:p>
    <w:p>
      <w:pPr>
        <w:pStyle w:val="4"/>
        <w:numPr>
          <w:ilvl w:val="0"/>
          <w:numId w:val="2"/>
        </w:numPr>
        <w:ind w:firstLine="0" w:firstLineChars="0"/>
        <w:rPr>
          <w:rFonts w:hint="eastAsia" w:ascii="黑体" w:hAnsi="黑体" w:eastAsia="黑体" w:cs="黑体"/>
          <w:b/>
          <w:bCs/>
          <w:sz w:val="32"/>
          <w:szCs w:val="32"/>
        </w:rPr>
      </w:pPr>
      <w:r>
        <w:rPr>
          <w:rFonts w:hint="eastAsia" w:ascii="黑体" w:hAnsi="黑体" w:eastAsia="黑体" w:cs="黑体"/>
          <w:b/>
          <w:bCs/>
          <w:sz w:val="32"/>
          <w:szCs w:val="32"/>
        </w:rPr>
        <w:t>建设内容</w:t>
      </w:r>
    </w:p>
    <w:p>
      <w:pPr>
        <w:pStyle w:val="4"/>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对我院现有省DRG疾病分组、成都DRG病组体系下的我院医保付费管理相关应用进行升级，同时新增院内医生工作站小助手、医保结算清单质控子系统、诊疗路径决策子系统、病种核算管理子系统，实现以DRG为抓手，对全院、各科室、各医师按照医疗质量、服务能力、运营效率、合理控费、</w:t>
      </w:r>
      <w:r>
        <w:rPr>
          <w:rFonts w:hint="eastAsia" w:ascii="仿宋_GB2312" w:hAnsi="仿宋_GB2312" w:eastAsia="仿宋_GB2312" w:cs="仿宋_GB2312"/>
          <w:sz w:val="32"/>
          <w:szCs w:val="32"/>
          <w:lang w:val="en-US" w:eastAsia="zh-CN"/>
        </w:rPr>
        <w:t>病</w:t>
      </w:r>
      <w:r>
        <w:rPr>
          <w:rFonts w:hint="eastAsia" w:ascii="仿宋_GB2312" w:hAnsi="仿宋_GB2312" w:eastAsia="仿宋_GB2312" w:cs="仿宋_GB2312"/>
          <w:sz w:val="32"/>
          <w:szCs w:val="32"/>
        </w:rPr>
        <w:t>种/</w:t>
      </w:r>
      <w:r>
        <w:rPr>
          <w:rFonts w:hint="eastAsia" w:ascii="仿宋_GB2312" w:hAnsi="仿宋_GB2312" w:eastAsia="仿宋_GB2312" w:cs="仿宋_GB2312"/>
          <w:sz w:val="32"/>
          <w:szCs w:val="32"/>
          <w:lang w:val="en-US" w:eastAsia="zh-CN"/>
        </w:rPr>
        <w:t>病</w:t>
      </w:r>
      <w:r>
        <w:rPr>
          <w:rFonts w:hint="eastAsia" w:ascii="仿宋_GB2312" w:hAnsi="仿宋_GB2312" w:eastAsia="仿宋_GB2312" w:cs="仿宋_GB2312"/>
          <w:sz w:val="32"/>
          <w:szCs w:val="32"/>
        </w:rPr>
        <w:t>组成本核算进行全面评估考核，推动医院高质量发展，逐步构建起新时期“长远规划+动态管理”精细化运营管理体系。</w:t>
      </w:r>
    </w:p>
    <w:p>
      <w:pPr>
        <w:pStyle w:val="4"/>
        <w:numPr>
          <w:ilvl w:val="0"/>
          <w:numId w:val="2"/>
        </w:numPr>
        <w:ind w:firstLine="0" w:firstLineChars="0"/>
        <w:rPr>
          <w:rFonts w:hint="eastAsia" w:ascii="黑体" w:hAnsi="黑体" w:eastAsia="黑体" w:cs="黑体"/>
          <w:b/>
          <w:bCs/>
          <w:sz w:val="32"/>
          <w:szCs w:val="32"/>
        </w:rPr>
      </w:pPr>
      <w:r>
        <w:rPr>
          <w:rFonts w:hint="eastAsia" w:ascii="黑体" w:hAnsi="黑体" w:eastAsia="黑体" w:cs="黑体"/>
          <w:b/>
          <w:bCs/>
          <w:sz w:val="32"/>
          <w:szCs w:val="32"/>
        </w:rPr>
        <w:t>建设清单</w:t>
      </w:r>
    </w:p>
    <w:tbl>
      <w:tblPr>
        <w:tblStyle w:val="5"/>
        <w:tblW w:w="4942" w:type="pct"/>
        <w:tblInd w:w="0" w:type="dxa"/>
        <w:tblLayout w:type="fixed"/>
        <w:tblCellMar>
          <w:top w:w="0" w:type="dxa"/>
          <w:left w:w="108" w:type="dxa"/>
          <w:bottom w:w="0" w:type="dxa"/>
          <w:right w:w="108" w:type="dxa"/>
        </w:tblCellMar>
      </w:tblPr>
      <w:tblGrid>
        <w:gridCol w:w="567"/>
        <w:gridCol w:w="1856"/>
        <w:gridCol w:w="6000"/>
      </w:tblGrid>
      <w:tr>
        <w:tblPrEx>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序号</w:t>
            </w:r>
          </w:p>
        </w:tc>
        <w:tc>
          <w:tcPr>
            <w:tcW w:w="11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模块名称</w:t>
            </w:r>
          </w:p>
        </w:tc>
        <w:tc>
          <w:tcPr>
            <w:tcW w:w="35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功能介绍</w:t>
            </w:r>
          </w:p>
        </w:tc>
      </w:tr>
      <w:tr>
        <w:tblPrEx>
          <w:tblCellMar>
            <w:top w:w="0" w:type="dxa"/>
            <w:left w:w="108" w:type="dxa"/>
            <w:bottom w:w="0" w:type="dxa"/>
            <w:right w:w="108" w:type="dxa"/>
          </w:tblCellMar>
        </w:tblPrEx>
        <w:trPr>
          <w:trHeight w:val="98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D</w:t>
            </w:r>
            <w:r>
              <w:rPr>
                <w:rFonts w:ascii="仿宋" w:hAnsi="仿宋" w:eastAsia="仿宋" w:cs="仿宋"/>
                <w:color w:val="000000"/>
                <w:kern w:val="0"/>
                <w:sz w:val="22"/>
                <w:lang w:bidi="ar"/>
              </w:rPr>
              <w:t>RG</w:t>
            </w:r>
            <w:r>
              <w:rPr>
                <w:rFonts w:hint="eastAsia" w:ascii="仿宋" w:hAnsi="仿宋" w:eastAsia="仿宋" w:cs="仿宋"/>
                <w:color w:val="000000"/>
                <w:kern w:val="0"/>
                <w:sz w:val="22"/>
                <w:lang w:bidi="ar"/>
              </w:rPr>
              <w:t>医保付费系统升级</w:t>
            </w:r>
          </w:p>
        </w:tc>
        <w:tc>
          <w:tcPr>
            <w:tcW w:w="356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主要升级功能：</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1、分组方案升级：同步省D</w:t>
            </w:r>
            <w:r>
              <w:rPr>
                <w:rFonts w:ascii="仿宋" w:hAnsi="仿宋" w:eastAsia="仿宋" w:cs="仿宋"/>
                <w:color w:val="000000"/>
                <w:kern w:val="0"/>
                <w:sz w:val="22"/>
                <w:lang w:bidi="ar"/>
              </w:rPr>
              <w:t>RG</w:t>
            </w:r>
            <w:r>
              <w:rPr>
                <w:rFonts w:hint="eastAsia" w:ascii="仿宋" w:hAnsi="仿宋" w:eastAsia="仿宋" w:cs="仿宋"/>
                <w:color w:val="000000"/>
                <w:kern w:val="0"/>
                <w:sz w:val="22"/>
                <w:lang w:bidi="ar"/>
              </w:rPr>
              <w:t>疾病分组和成都D</w:t>
            </w:r>
            <w:r>
              <w:rPr>
                <w:rFonts w:ascii="仿宋" w:hAnsi="仿宋" w:eastAsia="仿宋" w:cs="仿宋"/>
                <w:color w:val="000000"/>
                <w:kern w:val="0"/>
                <w:sz w:val="22"/>
                <w:lang w:bidi="ar"/>
              </w:rPr>
              <w:t>RG</w:t>
            </w:r>
            <w:r>
              <w:rPr>
                <w:rFonts w:hint="eastAsia" w:ascii="仿宋" w:hAnsi="仿宋" w:eastAsia="仿宋" w:cs="仿宋"/>
                <w:color w:val="000000"/>
                <w:kern w:val="0"/>
                <w:sz w:val="22"/>
                <w:lang w:bidi="ar"/>
              </w:rPr>
              <w:t>分组体系对我院病例进行分组付费预测。</w:t>
            </w:r>
          </w:p>
          <w:p>
            <w:pPr>
              <w:widowControl/>
              <w:jc w:val="left"/>
              <w:textAlignment w:val="top"/>
              <w:rPr>
                <w:rFonts w:ascii="仿宋" w:hAnsi="仿宋" w:eastAsia="仿宋" w:cs="仿宋"/>
                <w:color w:val="000000"/>
                <w:kern w:val="0"/>
                <w:sz w:val="22"/>
                <w:lang w:bidi="ar"/>
              </w:rPr>
            </w:pPr>
            <w:r>
              <w:rPr>
                <w:rFonts w:ascii="仿宋" w:hAnsi="仿宋" w:eastAsia="仿宋" w:cs="仿宋"/>
                <w:color w:val="000000"/>
                <w:kern w:val="0"/>
                <w:sz w:val="22"/>
                <w:highlight w:val="none"/>
                <w:lang w:bidi="ar"/>
              </w:rPr>
              <w:t>2</w:t>
            </w:r>
            <w:r>
              <w:rPr>
                <w:rFonts w:hint="eastAsia" w:ascii="仿宋" w:hAnsi="仿宋" w:eastAsia="仿宋" w:cs="仿宋"/>
                <w:color w:val="000000"/>
                <w:kern w:val="0"/>
                <w:sz w:val="22"/>
                <w:highlight w:val="none"/>
                <w:lang w:bidi="ar"/>
              </w:rPr>
              <w:t>、</w:t>
            </w:r>
            <w:r>
              <w:rPr>
                <w:rFonts w:hint="eastAsia" w:ascii="仿宋" w:hAnsi="仿宋" w:eastAsia="仿宋" w:cs="仿宋"/>
                <w:color w:val="000000"/>
                <w:kern w:val="0"/>
                <w:sz w:val="22"/>
                <w:lang w:bidi="ar"/>
              </w:rPr>
              <w:t>绩效评价对比：对医院、科室、医生、诊疗组提供基于C</w:t>
            </w:r>
            <w:r>
              <w:rPr>
                <w:rFonts w:ascii="仿宋" w:hAnsi="仿宋" w:eastAsia="仿宋" w:cs="仿宋"/>
                <w:color w:val="000000"/>
                <w:kern w:val="0"/>
                <w:sz w:val="22"/>
                <w:lang w:bidi="ar"/>
              </w:rPr>
              <w:t>HS-</w:t>
            </w:r>
            <w:r>
              <w:rPr>
                <w:rFonts w:hint="eastAsia" w:ascii="仿宋" w:hAnsi="仿宋" w:eastAsia="仿宋" w:cs="仿宋"/>
                <w:color w:val="000000"/>
                <w:kern w:val="0"/>
                <w:sz w:val="22"/>
                <w:lang w:bidi="ar"/>
              </w:rPr>
              <w:t>D</w:t>
            </w:r>
            <w:r>
              <w:rPr>
                <w:rFonts w:ascii="仿宋" w:hAnsi="仿宋" w:eastAsia="仿宋" w:cs="仿宋"/>
                <w:color w:val="000000"/>
                <w:kern w:val="0"/>
                <w:sz w:val="22"/>
                <w:lang w:bidi="ar"/>
              </w:rPr>
              <w:t>RG</w:t>
            </w:r>
            <w:r>
              <w:rPr>
                <w:rFonts w:hint="eastAsia" w:ascii="仿宋" w:hAnsi="仿宋" w:eastAsia="仿宋" w:cs="仿宋"/>
                <w:color w:val="000000"/>
                <w:kern w:val="0"/>
                <w:sz w:val="22"/>
                <w:lang w:bidi="ar"/>
              </w:rPr>
              <w:t>的绩效评价分析,定期提供区域、专科</w:t>
            </w:r>
            <w:r>
              <w:rPr>
                <w:rFonts w:ascii="仿宋" w:hAnsi="仿宋" w:eastAsia="仿宋" w:cs="仿宋"/>
                <w:color w:val="000000"/>
                <w:kern w:val="0"/>
                <w:sz w:val="22"/>
                <w:lang w:bidi="ar"/>
              </w:rPr>
              <w:t>DRGs</w:t>
            </w:r>
            <w:r>
              <w:rPr>
                <w:rFonts w:hint="eastAsia" w:ascii="仿宋" w:hAnsi="仿宋" w:eastAsia="仿宋" w:cs="仿宋"/>
                <w:color w:val="000000"/>
                <w:kern w:val="0"/>
                <w:sz w:val="22"/>
                <w:lang w:bidi="ar"/>
              </w:rPr>
              <w:t>组数、</w:t>
            </w:r>
            <w:r>
              <w:rPr>
                <w:rFonts w:ascii="仿宋" w:hAnsi="仿宋" w:eastAsia="仿宋" w:cs="仿宋"/>
                <w:color w:val="000000"/>
                <w:kern w:val="0"/>
                <w:sz w:val="22"/>
                <w:lang w:bidi="ar"/>
              </w:rPr>
              <w:t>CMI</w:t>
            </w:r>
            <w:r>
              <w:rPr>
                <w:rFonts w:hint="eastAsia" w:ascii="仿宋" w:hAnsi="仿宋" w:eastAsia="仿宋" w:cs="仿宋"/>
                <w:color w:val="000000"/>
                <w:kern w:val="0"/>
                <w:sz w:val="22"/>
                <w:lang w:bidi="ar"/>
              </w:rPr>
              <w:t>值、专科排名等标杆值，便于医院运营对比分析。</w:t>
            </w:r>
          </w:p>
          <w:p>
            <w:pPr>
              <w:pStyle w:val="7"/>
              <w:widowControl/>
              <w:ind w:firstLine="0" w:firstLineChars="0"/>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3、在院管理平台：通过新增接口对在院病例总体情况、入组情况、付费预测情况进行分析，帮助质控科室针对重点问题及时进行事中质控。</w:t>
            </w:r>
          </w:p>
          <w:p>
            <w:pPr>
              <w:pStyle w:val="7"/>
              <w:widowControl/>
              <w:ind w:firstLine="0" w:firstLineChars="0"/>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4、360自定义报表：按实际需求场景选择统计维度、指标去进行报表的自定义，满足用户对于不同报表的要求。</w:t>
            </w:r>
          </w:p>
          <w:p>
            <w:pPr>
              <w:pStyle w:val="7"/>
              <w:widowControl/>
              <w:ind w:firstLine="0" w:firstLineChars="0"/>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5、医保反馈对比：本功能支持导入当地医保局实际反馈的分组/盈亏数据并与预测的分组/盈亏数据进行对比。为医院后期进行分组调整/盈亏特病单议申诉提供数据支持。</w:t>
            </w:r>
          </w:p>
        </w:tc>
      </w:tr>
      <w:tr>
        <w:tblPrEx>
          <w:tblCellMar>
            <w:top w:w="0" w:type="dxa"/>
            <w:left w:w="108" w:type="dxa"/>
            <w:bottom w:w="0" w:type="dxa"/>
            <w:right w:w="108" w:type="dxa"/>
          </w:tblCellMar>
        </w:tblPrEx>
        <w:trPr>
          <w:trHeight w:val="7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2</w:t>
            </w:r>
          </w:p>
        </w:tc>
        <w:tc>
          <w:tcPr>
            <w:tcW w:w="11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医生工作站助手</w:t>
            </w:r>
          </w:p>
        </w:tc>
        <w:tc>
          <w:tcPr>
            <w:tcW w:w="356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医生工作站助手包含DRG智能小助手、诊疗路径小助手，与D</w:t>
            </w:r>
            <w:r>
              <w:rPr>
                <w:rFonts w:ascii="仿宋" w:hAnsi="仿宋" w:eastAsia="仿宋" w:cs="仿宋"/>
                <w:color w:val="000000"/>
                <w:kern w:val="0"/>
                <w:sz w:val="22"/>
                <w:lang w:bidi="ar"/>
              </w:rPr>
              <w:t>RG</w:t>
            </w:r>
            <w:r>
              <w:rPr>
                <w:rFonts w:hint="eastAsia" w:ascii="仿宋" w:hAnsi="仿宋" w:eastAsia="仿宋" w:cs="仿宋"/>
                <w:color w:val="000000"/>
                <w:kern w:val="0"/>
                <w:sz w:val="22"/>
                <w:lang w:bidi="ar"/>
              </w:rPr>
              <w:t>医保控费系统、诊疗路径决策系统一体化建设，保证分组、质控模型的一致性和同源性。</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对接院内 HIS 系统、病案系统,分别在患者刚入院时（基于主要诊断、主要手术操作）、患者住院期间、患者出院后三种场景下结合医保按病组、病种支付标准和相关结算办法,为医务人员提供病案预分组情况 ,并测算医院整体、各科室、医师、各病组、各病种及每个住院患者的医保支付的盈亏情况以及药占比、耗材占比、住院天数等与标杆值的对比情况。便于医务人员提前知晓病案首页填写的正确与完整性,及时纠正与完善病案首页填写情况。</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对接院内 HIS 系统、医嘱系统,聚焦患者入院诊断、修正诊断 、出院诊断三大关键业务场景,为医务人员提供基于诊疗路径的疾病编码提示、治疗方式建议、资源消耗分析、明细项目预警等事前、事中的医疗辅助决策建议。</w:t>
            </w:r>
          </w:p>
        </w:tc>
      </w:tr>
      <w:tr>
        <w:tblPrEx>
          <w:tblCellMar>
            <w:top w:w="0" w:type="dxa"/>
            <w:left w:w="108" w:type="dxa"/>
            <w:bottom w:w="0" w:type="dxa"/>
            <w:right w:w="108" w:type="dxa"/>
          </w:tblCellMar>
        </w:tblPrEx>
        <w:trPr>
          <w:trHeight w:val="276"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3</w:t>
            </w:r>
          </w:p>
        </w:tc>
        <w:tc>
          <w:tcPr>
            <w:tcW w:w="11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病案双质控</w:t>
            </w:r>
          </w:p>
        </w:tc>
        <w:tc>
          <w:tcPr>
            <w:tcW w:w="3561" w:type="pct"/>
            <w:tcBorders>
              <w:top w:val="single" w:color="000000" w:sz="4" w:space="0"/>
              <w:left w:val="single" w:color="000000" w:sz="4" w:space="0"/>
              <w:bottom w:val="single" w:color="000000" w:sz="4" w:space="0"/>
              <w:right w:val="single" w:color="000000" w:sz="4" w:space="0"/>
            </w:tcBorders>
          </w:tcPr>
          <w:p>
            <w:pPr>
              <w:widowControl/>
              <w:spacing w:line="240" w:lineRule="auto"/>
              <w:jc w:val="left"/>
              <w:textAlignment w:val="top"/>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在原有病案首页质控基础上新增医保结算清单质控、结算清单上传功能，质控范围包含住院病例和门慢特病例、日间手术的医保结算清单。</w:t>
            </w:r>
          </w:p>
          <w:p>
            <w:pPr>
              <w:widowControl/>
              <w:spacing w:line="240" w:lineRule="auto"/>
              <w:jc w:val="left"/>
              <w:textAlignment w:val="top"/>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对病案首页和医保结算清单进行映射，按照国家医保局《医疗保障基金结算清单填写规范》，及时、规范、准确、完整上传193项指标内容。</w:t>
            </w:r>
          </w:p>
          <w:p>
            <w:pPr>
              <w:widowControl/>
              <w:spacing w:line="240" w:lineRule="auto"/>
              <w:jc w:val="left"/>
              <w:textAlignment w:val="top"/>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通过建设医院医保结算清单相关质控应用,针对清单质量的总体趋势、高频异常校验问题、分组质控问题、未入组病例、高倍率组和低倍率组病例进行专题分析。</w:t>
            </w:r>
          </w:p>
          <w:p>
            <w:pPr>
              <w:widowControl/>
              <w:spacing w:line="240" w:lineRule="auto"/>
              <w:jc w:val="left"/>
              <w:textAlignment w:val="top"/>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针对明细病例展示数据问题,提示具体错误原因、修改建议、修改前后质控结果比较，基础质控规则主要包含结算清单的病例的完整性、逻辑性、合理性等；深度质控规则包括主诊断灰码 、手术灰码、主要诊断与主要手术不匹配主要诊断、主要手术/操作选择不准确、高靠、低编、遗漏重要诊断及手术编码、残余类目编码等编码性问题质控。</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通过生成可视化医保结算清单,并为结算清单提供质控、修改、上传等功能</w:t>
            </w:r>
            <w:r>
              <w:rPr>
                <w:rFonts w:ascii="仿宋" w:hAnsi="仿宋" w:eastAsia="仿宋" w:cs="仿宋"/>
                <w:color w:val="000000"/>
                <w:kern w:val="0"/>
                <w:sz w:val="22"/>
                <w:lang w:bidi="ar"/>
              </w:rPr>
              <w:t>,</w:t>
            </w:r>
            <w:r>
              <w:rPr>
                <w:rFonts w:hint="eastAsia" w:ascii="仿宋" w:hAnsi="仿宋" w:eastAsia="仿宋" w:cs="仿宋"/>
                <w:color w:val="000000"/>
                <w:kern w:val="0"/>
                <w:sz w:val="22"/>
                <w:lang w:bidi="ar"/>
              </w:rPr>
              <w:t>确保将高质量数据上传至医保局,进一步提升病例入组准确性。</w:t>
            </w:r>
          </w:p>
        </w:tc>
      </w:tr>
      <w:tr>
        <w:tblPrEx>
          <w:tblCellMar>
            <w:top w:w="0" w:type="dxa"/>
            <w:left w:w="108" w:type="dxa"/>
            <w:bottom w:w="0" w:type="dxa"/>
            <w:right w:w="108" w:type="dxa"/>
          </w:tblCellMar>
        </w:tblPrEx>
        <w:trPr>
          <w:trHeight w:val="276"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4</w:t>
            </w:r>
          </w:p>
        </w:tc>
        <w:tc>
          <w:tcPr>
            <w:tcW w:w="11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诊疗路径决策系统</w:t>
            </w:r>
          </w:p>
        </w:tc>
        <w:tc>
          <w:tcPr>
            <w:tcW w:w="356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包括基础数据管理、诊疗路径配置、路径预警反馈、路径决策分析、诊疗路径复盘、路径DRG对比分析等功能。</w:t>
            </w:r>
          </w:p>
          <w:p>
            <w:pPr>
              <w:widowControl/>
              <w:jc w:val="left"/>
              <w:textAlignment w:val="top"/>
              <w:rPr>
                <w:rFonts w:ascii="仿宋" w:hAnsi="仿宋" w:eastAsia="仿宋" w:cs="仿宋"/>
                <w:color w:val="000000"/>
                <w:kern w:val="0"/>
                <w:sz w:val="22"/>
                <w:lang w:bidi="ar"/>
              </w:rPr>
            </w:pPr>
            <w:r>
              <w:rPr>
                <w:rFonts w:ascii="仿宋" w:hAnsi="仿宋" w:eastAsia="仿宋" w:cs="仿宋"/>
                <w:color w:val="000000"/>
                <w:kern w:val="0"/>
                <w:sz w:val="22"/>
                <w:lang w:bidi="ar"/>
              </w:rPr>
              <w:t>为了确保疾病诊疗路径建设成果最大限度贴近当前医疗服务实际情况， 完成历史数据采集，包括但不限于医嘱明细、医保结算明细、西医病案首页、中医病案首页、医保结算清单、科室信息、诊疗组信息、医生信息等， 并作相应的数据清洗、处理、标化， 并提供相关编码的版本管理、编码映射管理、管理单元配置</w:t>
            </w:r>
            <w:r>
              <w:rPr>
                <w:rFonts w:hint="eastAsia" w:ascii="仿宋" w:hAnsi="仿宋" w:eastAsia="仿宋" w:cs="仿宋"/>
                <w:color w:val="000000"/>
                <w:kern w:val="0"/>
                <w:sz w:val="22"/>
                <w:lang w:bidi="ar"/>
              </w:rPr>
              <w:t>等；</w:t>
            </w:r>
          </w:p>
          <w:p>
            <w:pPr>
              <w:widowControl/>
              <w:jc w:val="left"/>
              <w:textAlignment w:val="top"/>
              <w:rPr>
                <w:rFonts w:ascii="仿宋" w:hAnsi="仿宋" w:eastAsia="仿宋" w:cs="仿宋"/>
                <w:color w:val="000000"/>
                <w:kern w:val="0"/>
                <w:sz w:val="22"/>
                <w:lang w:bidi="ar"/>
              </w:rPr>
            </w:pPr>
            <w:r>
              <w:rPr>
                <w:rFonts w:ascii="仿宋" w:hAnsi="仿宋" w:eastAsia="仿宋" w:cs="仿宋"/>
                <w:color w:val="000000"/>
                <w:kern w:val="0"/>
                <w:sz w:val="22"/>
                <w:lang w:bidi="ar"/>
              </w:rPr>
              <w:t>围绕医院管理、医保支付、科室发展的需要， 采集提炼各临床科室收治规模前 5~10 位的关键病种作为运营管理重点， 以“疾病诊断+治疗方式 ”为最小单元  还原形成诊疗路径分析基础 ， 随后针对具体路径中的常用医嘱项目及项目类型、 名称、费用、 频次、覆盖率等进行逆向分析</w:t>
            </w:r>
            <w:r>
              <w:rPr>
                <w:rFonts w:hint="eastAsia" w:ascii="仿宋" w:hAnsi="仿宋" w:eastAsia="仿宋" w:cs="仿宋"/>
                <w:color w:val="000000"/>
                <w:kern w:val="0"/>
                <w:sz w:val="22"/>
                <w:lang w:bidi="ar"/>
              </w:rPr>
              <w:t>。对纳入路径管理的病案进行预警监测， 包括入径情况监测、病种监测、服务效率监测及医疗行为监测预警反馈；</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通过与标准化的诊疗路径进行差异化分析， 从医院、科室、诊疗组维度分析。</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就诊患者的年龄分布、性别分布、疾病诊断 、治疗方式、 合并症及并发症、入院方式、 离院方式、病种付费分组结果、费用结构、资源消耗及明细项目使用情况等关键数据，为科室在病种、病组付费下的合理控费决策提供数据支撑。事后汇总出院病案的基本信息、DRG/DIP分组结果、诊疗路径的资源消耗情况，支持从医院、科室、诊疗组、医生等维度对关键管理指标进行自定义查询，同时层层下钻至单个病案，应对不同管理科室分析报表需要。事后汇总DRG 结算数据与诊疗路径分组数据，通过 DRG 分组下的病种管理比较同一病组、病种下不同诊断同一治疗方式、相同诊断不同治疗方式、相同治疗方式不同组合对费用、 天数等关键指标的影响对比分析。</w:t>
            </w:r>
          </w:p>
        </w:tc>
      </w:tr>
      <w:tr>
        <w:tblPrEx>
          <w:tblCellMar>
            <w:top w:w="0" w:type="dxa"/>
            <w:left w:w="108" w:type="dxa"/>
            <w:bottom w:w="0" w:type="dxa"/>
            <w:right w:w="108" w:type="dxa"/>
          </w:tblCellMar>
        </w:tblPrEx>
        <w:trPr>
          <w:trHeight w:val="276"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5</w:t>
            </w:r>
          </w:p>
        </w:tc>
        <w:tc>
          <w:tcPr>
            <w:tcW w:w="11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病种核算管理系统</w:t>
            </w:r>
          </w:p>
        </w:tc>
        <w:tc>
          <w:tcPr>
            <w:tcW w:w="356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 xml:space="preserve">通过结合DRGs分组数据建立院级、科级、医疗组和医生个人的成本核算单元，具体分为科室单元和服务单元。其中： </w:t>
            </w:r>
          </w:p>
          <w:p>
            <w:pPr>
              <w:widowControl/>
              <w:jc w:val="left"/>
              <w:textAlignment w:val="top"/>
              <w:rPr>
                <w:rFonts w:ascii="仿宋" w:hAnsi="仿宋" w:eastAsia="仿宋" w:cs="仿宋"/>
                <w:color w:val="000000"/>
                <w:kern w:val="0"/>
                <w:sz w:val="22"/>
                <w:lang w:bidi="ar"/>
              </w:rPr>
            </w:pPr>
            <w:r>
              <w:rPr>
                <w:rFonts w:ascii="仿宋" w:hAnsi="仿宋" w:eastAsia="仿宋" w:cs="仿宋"/>
                <w:color w:val="000000"/>
                <w:kern w:val="0"/>
                <w:sz w:val="22"/>
                <w:lang w:bidi="ar"/>
              </w:rPr>
              <w:t>1</w:t>
            </w:r>
            <w:r>
              <w:rPr>
                <w:rFonts w:hint="eastAsia" w:ascii="仿宋" w:hAnsi="仿宋" w:eastAsia="仿宋" w:cs="仿宋"/>
                <w:color w:val="000000"/>
                <w:kern w:val="0"/>
                <w:sz w:val="22"/>
                <w:lang w:bidi="ar"/>
              </w:rPr>
              <w:t>. 满足公立医院成本核算规范/手册要求，采用成本收入比法计算上述成本核算单元的病种成本和DRG病组成本。</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基础设置：1.建立该系统与HRP系统、DRG系统、病案首页等相关系统的接口和对照，自动提取病例费用明细以及每个病例的医保统筹和自费情况、HRP中的科室明细成本等基础信息。具体操作包含基础设置和结果展示。</w:t>
            </w:r>
          </w:p>
          <w:p>
            <w:pPr>
              <w:widowControl/>
              <w:numPr>
                <w:ilvl w:val="255"/>
                <w:numId w:val="0"/>
              </w:numPr>
              <w:jc w:val="left"/>
              <w:textAlignment w:val="top"/>
            </w:pPr>
            <w:r>
              <w:rPr>
                <w:rFonts w:hint="eastAsia" w:ascii="仿宋" w:hAnsi="仿宋" w:eastAsia="仿宋" w:cs="仿宋"/>
                <w:color w:val="000000"/>
                <w:kern w:val="0"/>
                <w:sz w:val="22"/>
                <w:lang w:bidi="ar"/>
              </w:rPr>
              <w:t>2</w:t>
            </w:r>
            <w:r>
              <w:rPr>
                <w:rFonts w:ascii="仿宋" w:hAnsi="仿宋" w:eastAsia="仿宋" w:cs="仿宋"/>
                <w:color w:val="000000"/>
                <w:kern w:val="0"/>
                <w:sz w:val="22"/>
                <w:lang w:bidi="ar"/>
              </w:rPr>
              <w:t>.对成本的性质按照不同性质进行区分，如科分为</w:t>
            </w:r>
            <w:r>
              <w:rPr>
                <w:rFonts w:hint="eastAsia" w:ascii="仿宋" w:hAnsi="仿宋" w:eastAsia="仿宋" w:cs="仿宋"/>
                <w:color w:val="000000"/>
                <w:kern w:val="0"/>
                <w:sz w:val="22"/>
                <w:lang w:bidi="ar"/>
              </w:rPr>
              <w:t>（1）直接成本和间接成本；（2）固定成本和变动成本；（3）成本7大类费用：人员经费、药品费、卫生材料费、固定资产折旧费、无形资产摊销费、计提风险基金、其他运行费用</w:t>
            </w:r>
            <w:r>
              <w:rPr>
                <w:rFonts w:ascii="仿宋" w:hAnsi="仿宋" w:eastAsia="仿宋" w:cs="仿宋"/>
                <w:color w:val="000000"/>
                <w:kern w:val="0"/>
                <w:sz w:val="22"/>
                <w:lang w:bidi="ar"/>
              </w:rPr>
              <w:t>；</w:t>
            </w:r>
            <w:r>
              <w:rPr>
                <w:rFonts w:hint="eastAsia" w:ascii="仿宋" w:hAnsi="仿宋" w:eastAsia="仿宋" w:cs="仿宋"/>
                <w:color w:val="000000"/>
                <w:kern w:val="0"/>
                <w:sz w:val="22"/>
                <w:lang w:bidi="ar"/>
              </w:rPr>
              <w:t>（4）另外可根据医院需求细化成本核算单元：如将材料成本分为可收费材料和不可收费材料。</w:t>
            </w:r>
            <w:r>
              <w:rPr>
                <w:rFonts w:ascii="仿宋" w:hAnsi="仿宋" w:eastAsia="仿宋" w:cs="仿宋"/>
                <w:color w:val="000000"/>
                <w:kern w:val="0"/>
                <w:sz w:val="22"/>
                <w:lang w:bidi="ar"/>
              </w:rPr>
              <w:br w:type="textWrapping"/>
            </w:r>
            <w:r>
              <w:rPr>
                <w:rFonts w:hint="eastAsia" w:ascii="仿宋" w:hAnsi="仿宋" w:eastAsia="仿宋" w:cs="仿宋"/>
                <w:color w:val="000000"/>
                <w:kern w:val="0"/>
                <w:sz w:val="22"/>
                <w:lang w:bidi="ar"/>
              </w:rPr>
              <w:t>成本项目数据按照成本核算单元进行基础设置。</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3.按核算要求对成本服务单元和收入服务单元进行划分，对数据进行真实、准确、完整的归集，设置科学、合理的分摊方法，最终确定全院、科室、医疗组、医生个人的D</w:t>
            </w:r>
            <w:r>
              <w:rPr>
                <w:rFonts w:ascii="仿宋" w:hAnsi="仿宋" w:eastAsia="仿宋" w:cs="仿宋"/>
                <w:color w:val="000000"/>
                <w:kern w:val="0"/>
                <w:sz w:val="22"/>
                <w:lang w:bidi="ar"/>
              </w:rPr>
              <w:t>RG病组成本和病种成本</w:t>
            </w:r>
            <w:r>
              <w:rPr>
                <w:rFonts w:hint="eastAsia" w:ascii="仿宋" w:hAnsi="仿宋" w:eastAsia="仿宋" w:cs="仿宋"/>
                <w:color w:val="000000"/>
                <w:kern w:val="0"/>
                <w:sz w:val="22"/>
                <w:lang w:bidi="ar"/>
              </w:rPr>
              <w:t>。</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4.通过系统可以计算和展示不同口径的成本（医疗业务成本、医疗成本、医疗全成本、医院全成本）和不同性质的成本（详见本款第2条）的核算结果和报表。</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5.建立医疗服务项目成本库。</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成本核算结果展示：</w:t>
            </w:r>
          </w:p>
          <w:p>
            <w:pPr>
              <w:widowControl/>
              <w:numPr>
                <w:ilvl w:val="0"/>
                <w:numId w:val="3"/>
              </w:numPr>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按照成本核算单元展示院级、科级、医疗组、医生个人的所有病种和DRG病组明细情况，包含费用、成本、收益、收益率等明细情况。</w:t>
            </w:r>
          </w:p>
          <w:p>
            <w:pPr>
              <w:widowControl/>
              <w:numPr>
                <w:ilvl w:val="0"/>
                <w:numId w:val="3"/>
              </w:numPr>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bidi="ar"/>
              </w:rPr>
              <w:t>按照成本核算单元展示院级、科级、医疗组、医生个人的top10病种、全部病种和DRG病组明细情况，包含费用、成本、收益、收益率、保本量等明细情况。</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val="en-US" w:eastAsia="zh-CN" w:bidi="ar"/>
              </w:rPr>
              <w:t>3</w:t>
            </w:r>
            <w:r>
              <w:rPr>
                <w:rFonts w:hint="eastAsia" w:ascii="仿宋" w:hAnsi="仿宋" w:eastAsia="仿宋" w:cs="仿宋"/>
                <w:color w:val="000000"/>
                <w:kern w:val="0"/>
                <w:sz w:val="22"/>
                <w:lang w:bidi="ar"/>
              </w:rPr>
              <w:t>.可通过表格和图形相结合的图表可视化方式展示院级、科级、医疗组、医生个人的所有病种和DRG病组分析情况。</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val="en-US" w:eastAsia="zh-CN" w:bidi="ar"/>
              </w:rPr>
              <w:t>4</w:t>
            </w:r>
            <w:r>
              <w:rPr>
                <w:rFonts w:hint="eastAsia" w:ascii="仿宋" w:hAnsi="仿宋" w:eastAsia="仿宋" w:cs="仿宋"/>
                <w:color w:val="000000"/>
                <w:kern w:val="0"/>
                <w:sz w:val="22"/>
                <w:lang w:bidi="ar"/>
              </w:rPr>
              <w:t>.可查询院级、科级、医疗组、医生个人某一病例、某DRG病组、某病种的费用、成本和收益明细情况。</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val="en-US" w:eastAsia="zh-CN" w:bidi="ar"/>
              </w:rPr>
              <w:t>5</w:t>
            </w:r>
            <w:r>
              <w:rPr>
                <w:rFonts w:hint="eastAsia" w:ascii="仿宋" w:hAnsi="仿宋" w:eastAsia="仿宋" w:cs="仿宋"/>
                <w:color w:val="000000"/>
                <w:kern w:val="0"/>
                <w:sz w:val="22"/>
                <w:lang w:bidi="ar"/>
              </w:rPr>
              <w:t>.</w:t>
            </w:r>
            <w:r>
              <w:rPr>
                <w:rFonts w:hint="eastAsia" w:ascii="仿宋" w:hAnsi="仿宋" w:eastAsia="仿宋" w:cs="仿宋"/>
                <w:color w:val="000000" w:themeColor="text1"/>
                <w:kern w:val="0"/>
                <w:sz w:val="22"/>
                <w:lang w:bidi="ar"/>
                <w14:textFill>
                  <w14:solidFill>
                    <w14:schemeClr w14:val="tx1"/>
                  </w14:solidFill>
                </w14:textFill>
              </w:rPr>
              <w:t>将</w:t>
            </w:r>
            <w:r>
              <w:rPr>
                <w:rFonts w:hint="eastAsia" w:ascii="仿宋" w:hAnsi="仿宋" w:eastAsia="仿宋" w:cs="仿宋"/>
                <w:color w:val="000000" w:themeColor="text1"/>
                <w:kern w:val="0"/>
                <w:sz w:val="22"/>
                <w:highlight w:val="none"/>
                <w:lang w:bidi="ar"/>
                <w14:textFill>
                  <w14:solidFill>
                    <w14:schemeClr w14:val="tx1"/>
                  </w14:solidFill>
                </w14:textFill>
              </w:rPr>
              <w:t>标杆值</w:t>
            </w:r>
            <w:r>
              <w:rPr>
                <w:rFonts w:hint="eastAsia" w:ascii="仿宋" w:hAnsi="仿宋" w:eastAsia="仿宋" w:cs="仿宋"/>
                <w:color w:val="000000" w:themeColor="text1"/>
                <w:kern w:val="0"/>
                <w:sz w:val="22"/>
                <w:lang w:bidi="ar"/>
                <w14:textFill>
                  <w14:solidFill>
                    <w14:schemeClr w14:val="tx1"/>
                  </w14:solidFill>
                </w14:textFill>
              </w:rPr>
              <w:t>引入</w:t>
            </w:r>
            <w:r>
              <w:rPr>
                <w:rFonts w:hint="eastAsia" w:ascii="仿宋" w:hAnsi="仿宋" w:eastAsia="仿宋" w:cs="仿宋"/>
                <w:color w:val="000000"/>
                <w:kern w:val="0"/>
                <w:sz w:val="22"/>
                <w:lang w:bidi="ar"/>
              </w:rPr>
              <w:t>到收入和成本分析中，便于分析与标杆费用之间的差别。</w:t>
            </w:r>
          </w:p>
          <w:p>
            <w:pPr>
              <w:widowControl/>
              <w:jc w:val="left"/>
              <w:textAlignment w:val="top"/>
              <w:rPr>
                <w:rFonts w:ascii="仿宋" w:hAnsi="仿宋" w:eastAsia="仿宋" w:cs="仿宋"/>
                <w:color w:val="000000"/>
                <w:kern w:val="0"/>
                <w:sz w:val="22"/>
                <w:lang w:bidi="ar"/>
              </w:rPr>
            </w:pPr>
            <w:r>
              <w:rPr>
                <w:rFonts w:hint="eastAsia" w:ascii="仿宋" w:hAnsi="仿宋" w:eastAsia="仿宋" w:cs="仿宋"/>
                <w:color w:val="000000"/>
                <w:kern w:val="0"/>
                <w:sz w:val="22"/>
                <w:lang w:val="en-US" w:eastAsia="zh-CN" w:bidi="ar"/>
              </w:rPr>
              <w:t>6</w:t>
            </w:r>
            <w:r>
              <w:rPr>
                <w:rFonts w:hint="eastAsia" w:ascii="仿宋" w:hAnsi="仿宋" w:eastAsia="仿宋" w:cs="仿宋"/>
                <w:color w:val="000000"/>
                <w:kern w:val="0"/>
                <w:sz w:val="22"/>
                <w:lang w:bidi="ar"/>
              </w:rPr>
              <w:t>.查询成本核算单元的院级、科级、诊疗组、医生个人的DRG病种/病组分析文字报告。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B14B6"/>
    <w:multiLevelType w:val="singleLevel"/>
    <w:tmpl w:val="F23B14B6"/>
    <w:lvl w:ilvl="0" w:tentative="0">
      <w:start w:val="1"/>
      <w:numFmt w:val="decimal"/>
      <w:lvlText w:val="%1."/>
      <w:lvlJc w:val="left"/>
      <w:pPr>
        <w:tabs>
          <w:tab w:val="left" w:pos="312"/>
        </w:tabs>
      </w:pPr>
    </w:lvl>
  </w:abstractNum>
  <w:abstractNum w:abstractNumId="1">
    <w:nsid w:val="313CDE5A"/>
    <w:multiLevelType w:val="singleLevel"/>
    <w:tmpl w:val="313CDE5A"/>
    <w:lvl w:ilvl="0" w:tentative="0">
      <w:start w:val="1"/>
      <w:numFmt w:val="chineseCounting"/>
      <w:suff w:val="nothing"/>
      <w:lvlText w:val="%1、"/>
      <w:lvlJc w:val="left"/>
      <w:rPr>
        <w:rFonts w:hint="eastAsia"/>
      </w:rPr>
    </w:lvl>
  </w:abstractNum>
  <w:abstractNum w:abstractNumId="2">
    <w:nsid w:val="70F818AE"/>
    <w:multiLevelType w:val="multilevel"/>
    <w:tmpl w:val="70F818AE"/>
    <w:lvl w:ilvl="0" w:tentative="0">
      <w:start w:val="1"/>
      <w:numFmt w:val="chineseCountingThousand"/>
      <w:pStyle w:val="2"/>
      <w:suff w:val="nothing"/>
      <w:lvlText w:val="（%1）"/>
      <w:lvlJc w:val="left"/>
      <w:pPr>
        <w:ind w:left="840" w:hanging="420"/>
      </w:pPr>
      <w:rPr>
        <w:rFonts w:hint="eastAsia" w:eastAsia="仿宋"/>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86D47"/>
    <w:rsid w:val="6FB8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numPr>
        <w:ilvl w:val="0"/>
        <w:numId w:val="1"/>
      </w:numPr>
      <w:spacing w:before="260" w:after="260" w:line="415" w:lineRule="auto"/>
      <w:outlineLvl w:val="1"/>
    </w:pPr>
    <w:rPr>
      <w:rFonts w:eastAsia="仿宋" w:asciiTheme="majorHAnsi" w:hAnsiTheme="majorHAnsi" w:cstheme="majorBidi"/>
      <w:b/>
      <w:bCs/>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First Indent"/>
    <w:basedOn w:val="3"/>
    <w:qFormat/>
    <w:uiPriority w:val="0"/>
    <w:pPr>
      <w:spacing w:after="0" w:line="360" w:lineRule="auto"/>
      <w:ind w:firstLine="200" w:firstLineChars="200"/>
    </w:pPr>
    <w:rPr>
      <w:sz w:val="2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2024-01-10T02:36:00Z</dcterms:created>
  <dc:creator>violet</dc:creator>
  <cp:lastModifiedBy>violet</cp:lastModifiedBy>
  <dcterms:modified xsi:type="dcterms:W3CDTF">2024-01-10T02:37:18Z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5F66FB99472649A0A5F479C6C3C7040B</vt:lpwstr>
  </property>
</Properties>
</file>