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w:t>
      </w:r>
      <w:r>
        <w:rPr>
          <w:rFonts w:hint="eastAsia" w:ascii="黑体" w:hAnsi="黑体" w:eastAsia="黑体"/>
          <w:bCs/>
          <w:sz w:val="28"/>
          <w:szCs w:val="28"/>
          <w:highlight w:val="yellow"/>
          <w:lang w:val="en-US" w:eastAsia="zh-CN"/>
        </w:rPr>
        <w:t>胶装。</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3"/>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联系人：招标办汪老师</w:t>
      </w:r>
    </w:p>
    <w:p>
      <w:pPr>
        <w:numPr>
          <w:ilvl w:val="0"/>
          <w:numId w:val="0"/>
        </w:numPr>
        <w:spacing w:line="520" w:lineRule="exact"/>
        <w:ind w:leftChars="200"/>
        <w:rPr>
          <w:rFonts w:hint="default"/>
          <w:lang w:val="en-US" w:eastAsia="zh-CN"/>
        </w:rPr>
      </w:pPr>
      <w:r>
        <w:rPr>
          <w:rFonts w:hint="eastAsia" w:asciiTheme="minorEastAsia" w:hAnsiTheme="minorEastAsia"/>
          <w:sz w:val="28"/>
          <w:szCs w:val="28"/>
          <w:lang w:val="en-US" w:eastAsia="zh-CN"/>
        </w:rPr>
        <w:t>电话：028-27238102</w:t>
      </w:r>
    </w:p>
    <w:p>
      <w:pPr>
        <w:numPr>
          <w:ilvl w:val="0"/>
          <w:numId w:val="3"/>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投标产品信息审核表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法定代表人身份证</w:t>
            </w:r>
            <w:r>
              <w:rPr>
                <w:rFonts w:hint="eastAsia" w:asciiTheme="minorEastAsia" w:hAnsiTheme="minorEastAsia" w:cstheme="minorEastAsia"/>
                <w:color w:val="000000"/>
                <w:kern w:val="0"/>
                <w:sz w:val="20"/>
                <w:szCs w:val="20"/>
                <w:lang w:val="en-US" w:eastAsia="zh-CN"/>
              </w:rPr>
              <w:t>和</w:t>
            </w:r>
            <w:r>
              <w:rPr>
                <w:rFonts w:hint="eastAsia" w:asciiTheme="minorEastAsia" w:hAnsiTheme="minorEastAsia" w:eastAsiaTheme="minorEastAsia" w:cstheme="minorEastAsia"/>
                <w:color w:val="000000"/>
                <w:kern w:val="0"/>
                <w:sz w:val="20"/>
                <w:szCs w:val="20"/>
              </w:rPr>
              <w:t>授权代理人身份证复印件</w:t>
            </w:r>
            <w:r>
              <w:rPr>
                <w:rFonts w:hint="eastAsia" w:asciiTheme="minorEastAsia" w:hAnsiTheme="minorEastAsia" w:cstheme="minorEastAsia"/>
                <w:color w:val="000000"/>
                <w:kern w:val="0"/>
                <w:sz w:val="20"/>
                <w:szCs w:val="20"/>
                <w:lang w:eastAsia="zh-CN"/>
              </w:rPr>
              <w:t>；</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1.产品授权复印件（复印件加盖投标公司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w:t>
            </w:r>
            <w:r>
              <w:rPr>
                <w:rFonts w:hint="eastAsia" w:ascii="宋体" w:hAnsi="宋体" w:eastAsia="宋体" w:cs="宋体"/>
                <w:sz w:val="20"/>
                <w:szCs w:val="20"/>
              </w:rPr>
              <w:t>；授权要求“两票制”，不接受转授权）</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医疗器械需提供</w:t>
            </w:r>
            <w:r>
              <w:rPr>
                <w:rFonts w:hint="eastAsia" w:ascii="宋体" w:hAnsi="宋体" w:eastAsia="宋体" w:cs="宋体"/>
                <w:sz w:val="20"/>
                <w:szCs w:val="20"/>
              </w:rPr>
              <w:t>产品注册证复印件（加盖投标公司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val="en-US" w:eastAsia="zh-CN"/>
              </w:rPr>
              <w:t>或不作为医疗器械管理的相关说明</w:t>
            </w:r>
            <w:r>
              <w:rPr>
                <w:rFonts w:hint="eastAsia" w:ascii="宋体" w:hAnsi="宋体" w:eastAsia="宋体" w:cs="宋体"/>
                <w:sz w:val="20"/>
                <w:szCs w:val="20"/>
              </w:rPr>
              <w:t>（加盖投标公司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rPr>
            </w:pPr>
            <w:r>
              <w:rPr>
                <w:rFonts w:hint="eastAsia" w:ascii="宋体" w:hAnsi="宋体" w:eastAsia="宋体" w:cs="宋体"/>
                <w:sz w:val="20"/>
                <w:szCs w:val="20"/>
              </w:rPr>
              <w:t>3.产品</w:t>
            </w:r>
            <w:r>
              <w:rPr>
                <w:rFonts w:hint="eastAsia" w:ascii="宋体" w:hAnsi="宋体" w:eastAsia="宋体" w:cs="宋体"/>
                <w:sz w:val="20"/>
                <w:szCs w:val="20"/>
                <w:lang w:val="en-US" w:eastAsia="zh-CN"/>
              </w:rPr>
              <w:t>宣传页、彩页或使用说明书</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eastAsia="zh-CN"/>
              </w:rPr>
            </w:pPr>
            <w:r>
              <w:rPr>
                <w:rFonts w:hint="eastAsia" w:ascii="宋体" w:hAnsi="宋体" w:eastAsia="宋体" w:cs="宋体"/>
                <w:sz w:val="20"/>
                <w:szCs w:val="20"/>
              </w:rPr>
              <w:t>4.设备参数（加盖厂家</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both"/>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5.设备需提供</w:t>
            </w:r>
            <w:r>
              <w:rPr>
                <w:rFonts w:hint="eastAsia" w:ascii="宋体" w:hAnsi="宋体" w:eastAsia="宋体" w:cs="宋体"/>
                <w:sz w:val="20"/>
                <w:szCs w:val="20"/>
              </w:rPr>
              <w:t>配置清单（加盖厂家</w:t>
            </w:r>
            <w:r>
              <w:rPr>
                <w:rFonts w:hint="eastAsia" w:ascii="宋体" w:hAnsi="宋体" w:eastAsia="宋体" w:cs="宋体"/>
                <w:sz w:val="20"/>
                <w:szCs w:val="20"/>
                <w:lang w:eastAsia="zh-CN"/>
              </w:rPr>
              <w:t>鲜章</w:t>
            </w:r>
            <w:r>
              <w:rPr>
                <w:rFonts w:hint="eastAsia" w:ascii="宋体" w:hAnsi="宋体" w:eastAsia="宋体" w:cs="宋体"/>
                <w:sz w:val="20"/>
                <w:szCs w:val="20"/>
              </w:rPr>
              <w:t>）</w:t>
            </w:r>
            <w:r>
              <w:rPr>
                <w:rFonts w:hint="eastAsia" w:ascii="宋体" w:hAnsi="宋体" w:eastAsia="宋体" w:cs="宋体"/>
                <w:sz w:val="20"/>
                <w:szCs w:val="20"/>
                <w:lang w:eastAsia="zh-CN"/>
              </w:rPr>
              <w:t>。</w:t>
            </w:r>
          </w:p>
          <w:p>
            <w:pPr>
              <w:pStyle w:val="2"/>
              <w:jc w:val="both"/>
              <w:rPr>
                <w:rFonts w:hint="default"/>
                <w:lang w:val="en-US" w:eastAsia="zh-CN"/>
              </w:rPr>
            </w:pPr>
            <w:r>
              <w:rPr>
                <w:rFonts w:hint="eastAsia" w:ascii="宋体" w:hAnsi="宋体" w:eastAsia="宋体" w:cs="宋体"/>
                <w:color w:val="000000"/>
                <w:kern w:val="0"/>
                <w:sz w:val="20"/>
                <w:szCs w:val="20"/>
                <w:lang w:val="en-US" w:eastAsia="zh-CN"/>
              </w:rPr>
              <w:t>6.非医疗器械产品项目可不提供；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58"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paperSrc/>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国别</w:t>
            </w:r>
            <w:r>
              <w:rPr>
                <w:rFonts w:hint="eastAsia" w:asciiTheme="minorEastAsia" w:hAnsiTheme="minorEastAsia" w:cstheme="minorEastAsia"/>
                <w:kern w:val="0"/>
                <w:sz w:val="22"/>
                <w:szCs w:val="22"/>
                <w:lang w:val="en-US" w:eastAsia="zh-CN"/>
              </w:rPr>
              <w:t>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规格型号：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2.产品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color w:val="000000"/>
                <w:kern w:val="0"/>
                <w:sz w:val="22"/>
                <w:szCs w:val="22"/>
              </w:rPr>
              <w:t>.产品注册许可证号：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4.产品是否挂网：</w:t>
            </w:r>
            <w:r>
              <w:rPr>
                <w:rFonts w:hint="eastAsia"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lang w:val="en-US" w:eastAsia="zh-CN"/>
              </w:rPr>
              <w:t>是</w:t>
            </w:r>
            <w:r>
              <w:rPr>
                <w:rFonts w:hint="eastAsia" w:asciiTheme="minorEastAsia" w:hAnsi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rPr>
              <w:sym w:font="Wingdings 2" w:char="00A3"/>
            </w:r>
            <w:r>
              <w:rPr>
                <w:rFonts w:hint="eastAsia" w:asciiTheme="minorEastAsia" w:hAnsiTheme="minorEastAsia" w:cstheme="minorEastAsia"/>
                <w:color w:val="000000"/>
                <w:kern w:val="0"/>
                <w:sz w:val="22"/>
                <w:szCs w:val="22"/>
                <w:lang w:val="en-US" w:eastAsia="zh-CN"/>
              </w:rPr>
              <w:t>否，如果是挂网，产品流水号：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4.产品授权级别：□生产商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5</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投标公司</w:t>
            </w:r>
            <w:r>
              <w:rPr>
                <w:rFonts w:hint="eastAsia" w:asciiTheme="minorEastAsia" w:hAnsiTheme="minorEastAsia" w:cstheme="minorEastAsia"/>
                <w:color w:val="000000"/>
                <w:kern w:val="0"/>
                <w:sz w:val="22"/>
                <w:szCs w:val="22"/>
              </w:rPr>
              <w:t xml:space="preserve">名称：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5"/>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spacing w:line="560" w:lineRule="exact"/>
        <w:ind w:left="1063" w:hanging="1063" w:hangingChars="441"/>
        <w:textAlignment w:val="auto"/>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Theme="minorEastAsia" w:hAnsiTheme="minorEastAsia" w:cstheme="minorEastAsia"/>
          <w:b/>
          <w:sz w:val="24"/>
        </w:rPr>
      </w:pPr>
      <w:bookmarkStart w:id="1" w:name="_GoBack"/>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bookmarkEnd w:id="1"/>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8"/>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产品相关资质</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医疗器械</w:t>
      </w: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lang w:val="en-US" w:eastAsia="zh-CN"/>
        </w:rPr>
        <w:t>若投标产品无医疗器械注册证或备案证，需提供以下证明材料：（1）不作为医疗器械管理的相关证明；（2）生产厂家关于产品的适用范围、规格型号、结构及组成等相关证明材料。以上资料需加盖生产厂家和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非医疗器械产品项目可不提供。</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产品技术参数资质</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p>
    <w:p>
      <w:pPr>
        <w:pStyle w:val="105"/>
        <w:numPr>
          <w:ilvl w:val="0"/>
          <w:numId w:val="10"/>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lang w:val="en-US" w:eastAsia="zh-CN"/>
        </w:rPr>
        <w:t>技术使用说明书</w:t>
      </w:r>
    </w:p>
    <w:p>
      <w:pPr>
        <w:pStyle w:val="105"/>
        <w:numPr>
          <w:ilvl w:val="0"/>
          <w:numId w:val="10"/>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技术参数</w:t>
      </w:r>
      <w:r>
        <w:rPr>
          <w:rFonts w:hint="eastAsia" w:asciiTheme="minorEastAsia" w:hAnsiTheme="minorEastAsia" w:cstheme="minorEastAsia"/>
          <w:sz w:val="24"/>
          <w:lang w:val="en-US" w:eastAsia="zh-CN"/>
        </w:rPr>
        <w:t>表</w:t>
      </w:r>
    </w:p>
    <w:p>
      <w:pPr>
        <w:pStyle w:val="105"/>
        <w:numPr>
          <w:ilvl w:val="0"/>
          <w:numId w:val="10"/>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配置清单</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1708EF55"/>
    <w:multiLevelType w:val="multilevel"/>
    <w:tmpl w:val="1708EF5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7BB88AF"/>
    <w:multiLevelType w:val="singleLevel"/>
    <w:tmpl w:val="17BB88AF"/>
    <w:lvl w:ilvl="0" w:tentative="0">
      <w:start w:val="1"/>
      <w:numFmt w:val="decimal"/>
      <w:lvlText w:val="%1."/>
      <w:lvlJc w:val="left"/>
      <w:pPr>
        <w:ind w:left="425" w:hanging="425"/>
      </w:pPr>
      <w:rPr>
        <w:rFonts w:hint="default"/>
      </w:rPr>
    </w:lvl>
  </w:abstractNum>
  <w:abstractNum w:abstractNumId="5">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8">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9"/>
  </w:num>
  <w:num w:numId="2">
    <w:abstractNumId w:val="2"/>
  </w:num>
  <w:num w:numId="3">
    <w:abstractNumId w:val="4"/>
  </w:num>
  <w:num w:numId="4">
    <w:abstractNumId w:val="1"/>
  </w:num>
  <w:num w:numId="5">
    <w:abstractNumId w:val="7"/>
  </w:num>
  <w:num w:numId="6">
    <w:abstractNumId w:val="0"/>
  </w:num>
  <w:num w:numId="7">
    <w:abstractNumId w:val="5"/>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61B0C1C"/>
    <w:rsid w:val="064E7875"/>
    <w:rsid w:val="07040B8F"/>
    <w:rsid w:val="07153735"/>
    <w:rsid w:val="07562869"/>
    <w:rsid w:val="079972E3"/>
    <w:rsid w:val="08681BA6"/>
    <w:rsid w:val="096066E2"/>
    <w:rsid w:val="0A410FBF"/>
    <w:rsid w:val="0AD156BA"/>
    <w:rsid w:val="0C421DAC"/>
    <w:rsid w:val="0C7F5F5C"/>
    <w:rsid w:val="0E1170DF"/>
    <w:rsid w:val="1020257A"/>
    <w:rsid w:val="11D129C7"/>
    <w:rsid w:val="12451EF8"/>
    <w:rsid w:val="128C72B8"/>
    <w:rsid w:val="12E926AD"/>
    <w:rsid w:val="143A1B3C"/>
    <w:rsid w:val="156712A9"/>
    <w:rsid w:val="15EC41DA"/>
    <w:rsid w:val="16A02AFF"/>
    <w:rsid w:val="17311B3B"/>
    <w:rsid w:val="17455CA0"/>
    <w:rsid w:val="18684DBA"/>
    <w:rsid w:val="1872455D"/>
    <w:rsid w:val="19A2122E"/>
    <w:rsid w:val="1AB958E3"/>
    <w:rsid w:val="1B25003A"/>
    <w:rsid w:val="1B3B2AC4"/>
    <w:rsid w:val="1BE64024"/>
    <w:rsid w:val="1C60116D"/>
    <w:rsid w:val="1C687BA8"/>
    <w:rsid w:val="204811EB"/>
    <w:rsid w:val="205B65B0"/>
    <w:rsid w:val="21044B9D"/>
    <w:rsid w:val="223E1532"/>
    <w:rsid w:val="22786F49"/>
    <w:rsid w:val="23165414"/>
    <w:rsid w:val="23A41C7E"/>
    <w:rsid w:val="255E785B"/>
    <w:rsid w:val="25C11AFE"/>
    <w:rsid w:val="25FF73E4"/>
    <w:rsid w:val="261D053B"/>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871AFE"/>
    <w:rsid w:val="2EA21343"/>
    <w:rsid w:val="2FBB1EDE"/>
    <w:rsid w:val="300A6E29"/>
    <w:rsid w:val="317B2AC6"/>
    <w:rsid w:val="31862576"/>
    <w:rsid w:val="31C3333B"/>
    <w:rsid w:val="339577D0"/>
    <w:rsid w:val="34E622D6"/>
    <w:rsid w:val="352F5EB4"/>
    <w:rsid w:val="359D46BE"/>
    <w:rsid w:val="35F52493"/>
    <w:rsid w:val="3605272D"/>
    <w:rsid w:val="36CA6FF3"/>
    <w:rsid w:val="372B531C"/>
    <w:rsid w:val="37345BD5"/>
    <w:rsid w:val="377546B1"/>
    <w:rsid w:val="384107A0"/>
    <w:rsid w:val="387F386C"/>
    <w:rsid w:val="394F6992"/>
    <w:rsid w:val="39A828A4"/>
    <w:rsid w:val="39C03123"/>
    <w:rsid w:val="39DD51DD"/>
    <w:rsid w:val="3B793860"/>
    <w:rsid w:val="3C0D3013"/>
    <w:rsid w:val="3D3E4B3A"/>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9EB6C90"/>
    <w:rsid w:val="5CAA0423"/>
    <w:rsid w:val="5DF00A57"/>
    <w:rsid w:val="5F415DBE"/>
    <w:rsid w:val="5F5156AC"/>
    <w:rsid w:val="5F756265"/>
    <w:rsid w:val="60417000"/>
    <w:rsid w:val="61307889"/>
    <w:rsid w:val="62C60519"/>
    <w:rsid w:val="62ED7642"/>
    <w:rsid w:val="63FD2891"/>
    <w:rsid w:val="655A366F"/>
    <w:rsid w:val="65EC0BC6"/>
    <w:rsid w:val="68E036BE"/>
    <w:rsid w:val="690E41D8"/>
    <w:rsid w:val="6971366E"/>
    <w:rsid w:val="6A001027"/>
    <w:rsid w:val="6AA22F8A"/>
    <w:rsid w:val="6C890E95"/>
    <w:rsid w:val="6E96154E"/>
    <w:rsid w:val="6EE23691"/>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5</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2024-01-18T02:48:54Z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