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1998"/>
        <w:tblOverlap w:val="never"/>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608"/>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产品名称</w:t>
            </w:r>
          </w:p>
        </w:tc>
        <w:tc>
          <w:tcPr>
            <w:tcW w:w="160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方法学</w:t>
            </w:r>
          </w:p>
        </w:tc>
        <w:tc>
          <w:tcPr>
            <w:tcW w:w="62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4" w:hRule="atLeast"/>
          <w:jc w:val="center"/>
        </w:trPr>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血糖试条</w:t>
            </w:r>
          </w:p>
        </w:tc>
        <w:tc>
          <w:tcPr>
            <w:tcW w:w="1608" w:type="dxa"/>
            <w:tcBorders>
              <w:top w:val="single" w:color="auto" w:sz="4" w:space="0"/>
              <w:left w:val="single" w:color="auto" w:sz="4" w:space="0"/>
              <w:bottom w:val="single" w:color="auto" w:sz="4" w:space="0"/>
              <w:right w:val="single" w:color="auto" w:sz="4" w:space="0"/>
            </w:tcBorders>
            <w:vAlign w:val="center"/>
          </w:tcPr>
          <w:p>
            <w:pPr>
              <w:jc w:val="left"/>
              <w:rPr>
                <w:rFonts w:hint="default" w:eastAsiaTheme="minorEastAsia"/>
                <w:sz w:val="24"/>
                <w:szCs w:val="24"/>
                <w:vertAlign w:val="baseline"/>
                <w:lang w:val="en-US" w:eastAsia="zh-CN"/>
              </w:rPr>
            </w:pPr>
            <w:r>
              <w:rPr>
                <w:rFonts w:hint="default"/>
                <w:sz w:val="24"/>
                <w:szCs w:val="24"/>
                <w:vertAlign w:val="baseline"/>
                <w:lang w:val="en-US" w:eastAsia="zh-CN"/>
              </w:rPr>
              <w:t>产品注册证检测方法：干化学法</w:t>
            </w:r>
            <w:r>
              <w:rPr>
                <w:rFonts w:hint="eastAsia"/>
                <w:sz w:val="24"/>
                <w:szCs w:val="24"/>
                <w:vertAlign w:val="baseline"/>
                <w:lang w:val="en-US" w:eastAsia="zh-CN"/>
              </w:rPr>
              <w:t>，符合GB/T19634-2021国家标准</w:t>
            </w:r>
          </w:p>
        </w:tc>
        <w:tc>
          <w:tcPr>
            <w:tcW w:w="6264" w:type="dxa"/>
            <w:tcBorders>
              <w:top w:val="single" w:color="auto" w:sz="4" w:space="0"/>
              <w:left w:val="single" w:color="auto" w:sz="4" w:space="0"/>
              <w:bottom w:val="single" w:color="auto" w:sz="4" w:space="0"/>
              <w:right w:val="single" w:color="auto" w:sz="4" w:space="0"/>
            </w:tcBorders>
            <w:vAlign w:val="center"/>
          </w:tcPr>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用途：用于指血糖监测，试纸及仪器质量控制。</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血标本类型：包括但不限于新鲜毛细血管全血、静脉血</w:t>
            </w:r>
            <w:r>
              <w:rPr>
                <w:rFonts w:hint="eastAsia"/>
                <w:sz w:val="24"/>
                <w:szCs w:val="24"/>
                <w:vertAlign w:val="baseline"/>
                <w:lang w:val="en-US" w:eastAsia="zh-CN"/>
              </w:rPr>
              <w:t>。</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血糖仪和血糖试纸</w:t>
            </w:r>
            <w:r>
              <w:rPr>
                <w:rFonts w:hint="eastAsia"/>
                <w:sz w:val="24"/>
                <w:szCs w:val="24"/>
                <w:vertAlign w:val="baseline"/>
                <w:lang w:val="en-US" w:eastAsia="zh-CN"/>
              </w:rPr>
              <w:t>条</w:t>
            </w:r>
            <w:r>
              <w:rPr>
                <w:rFonts w:hint="default"/>
                <w:sz w:val="24"/>
                <w:szCs w:val="24"/>
                <w:vertAlign w:val="baseline"/>
                <w:lang w:val="en-US" w:eastAsia="zh-CN"/>
              </w:rPr>
              <w:t>测量重复性</w:t>
            </w:r>
            <w:r>
              <w:rPr>
                <w:rFonts w:hint="eastAsia"/>
                <w:sz w:val="24"/>
                <w:szCs w:val="24"/>
                <w:vertAlign w:val="baseline"/>
                <w:lang w:val="en-US" w:eastAsia="zh-CN"/>
              </w:rPr>
              <w:t>及系统准确度</w:t>
            </w:r>
            <w:r>
              <w:rPr>
                <w:rFonts w:hint="default"/>
                <w:sz w:val="24"/>
                <w:szCs w:val="24"/>
                <w:vertAlign w:val="baseline"/>
                <w:lang w:val="en-US" w:eastAsia="zh-CN"/>
              </w:rPr>
              <w:t>要求符合GB/T19634-2021国家标准</w:t>
            </w:r>
            <w:r>
              <w:rPr>
                <w:rFonts w:hint="eastAsia"/>
                <w:sz w:val="24"/>
                <w:szCs w:val="24"/>
                <w:vertAlign w:val="baseline"/>
                <w:lang w:val="en-US" w:eastAsia="zh-CN"/>
              </w:rPr>
              <w:t>中提及的相关内容，且吸血样本量≤1μL。</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按1:1配套的一次性安全采血器</w:t>
            </w:r>
            <w:r>
              <w:rPr>
                <w:rFonts w:hint="eastAsia"/>
                <w:sz w:val="24"/>
                <w:szCs w:val="24"/>
                <w:vertAlign w:val="baseline"/>
                <w:lang w:val="en-US" w:eastAsia="zh-CN"/>
              </w:rPr>
              <w:t>。</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试纸一次性使用，避免交叉感染。</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 xml:space="preserve">生产企业具有《即时检验(POCT)设备监督员和操作指南》起草单位;作为起草能更好的协助医院的POCT 体系建立的和质控管理 </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血糖试纸和智能血糖仪以及配套的血糖管理系统必须是同一生产企业（或者是法律关联的子公司）以保证产品软件和硬件的升级维护更有效；不接受软件为第三方公司服务。</w:t>
            </w:r>
          </w:p>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参加国家卫健委临检中心室间质评100%通过，且有独立分组。</w:t>
            </w:r>
          </w:p>
          <w:p>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提供每年两次所供血糖设备间的性能比对。</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能提供全套的院内血糖管理体系和流程，能提供专业的项目支持人员为全院血糖管理提供指导和协助； （必须是在已经开展全院血糖管理的医院并且能收费）；提供三家以上的同级医院名单进行核实。</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血糖管理系统的售后维护是企业专职售后工程师在本地进行维护；2小时内响应。</w:t>
            </w:r>
          </w:p>
          <w:p>
            <w:pPr>
              <w:numPr>
                <w:ilvl w:val="0"/>
                <w:numId w:val="1"/>
              </w:numPr>
              <w:jc w:val="both"/>
              <w:rPr>
                <w:rFonts w:hint="default"/>
                <w:sz w:val="24"/>
                <w:szCs w:val="24"/>
                <w:vertAlign w:val="baseline"/>
                <w:lang w:val="en-US" w:eastAsia="zh-CN"/>
              </w:rPr>
            </w:pPr>
            <w:r>
              <w:rPr>
                <w:rFonts w:hint="default"/>
                <w:sz w:val="24"/>
                <w:szCs w:val="24"/>
                <w:vertAlign w:val="baseline"/>
                <w:lang w:val="en-US" w:eastAsia="zh-CN"/>
              </w:rPr>
              <w:t xml:space="preserve">系统主要功能： </w:t>
            </w:r>
          </w:p>
          <w:p>
            <w:pPr>
              <w:numPr>
                <w:ilvl w:val="0"/>
                <w:numId w:val="0"/>
              </w:numPr>
              <w:jc w:val="both"/>
              <w:rPr>
                <w:rFonts w:hint="default"/>
                <w:sz w:val="24"/>
                <w:szCs w:val="24"/>
                <w:vertAlign w:val="baseline"/>
                <w:lang w:val="en-US" w:eastAsia="zh-CN"/>
              </w:rPr>
            </w:pPr>
            <w:r>
              <w:rPr>
                <w:rFonts w:hint="default"/>
                <w:sz w:val="24"/>
                <w:szCs w:val="24"/>
                <w:vertAlign w:val="baseline"/>
                <w:lang w:val="en-US" w:eastAsia="zh-CN"/>
              </w:rPr>
              <w:t xml:space="preserve">a.患者查询、患者血糖数据多维度总览表（可打印）、科室报表（可打印）、科室患者统计和科室异常血糖患者统计、虚拟病房的统计和展示。 </w:t>
            </w:r>
          </w:p>
          <w:p>
            <w:pPr>
              <w:numPr>
                <w:ilvl w:val="0"/>
                <w:numId w:val="0"/>
              </w:numPr>
              <w:jc w:val="both"/>
              <w:rPr>
                <w:rFonts w:hint="default"/>
                <w:sz w:val="24"/>
                <w:szCs w:val="24"/>
                <w:vertAlign w:val="baseline"/>
                <w:lang w:val="en-US" w:eastAsia="zh-CN"/>
              </w:rPr>
            </w:pPr>
            <w:r>
              <w:rPr>
                <w:rFonts w:hint="default"/>
                <w:sz w:val="24"/>
                <w:szCs w:val="24"/>
                <w:vertAlign w:val="baseline"/>
                <w:lang w:val="en-US" w:eastAsia="zh-CN"/>
              </w:rPr>
              <w:t>b.具有虚拟病房功能、能根据医院管理需求和标准化管理流程实现管理；能多维度评估患者和展示患者报表；能开放接口接入不同厂家的血糖数据、CGM数据和胰岛素泵数据。</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2A59D"/>
    <w:multiLevelType w:val="singleLevel"/>
    <w:tmpl w:val="5DF2A5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6D9E"/>
    <w:rsid w:val="07246EC6"/>
    <w:rsid w:val="096A2040"/>
    <w:rsid w:val="1A7D39DC"/>
    <w:rsid w:val="1AB11209"/>
    <w:rsid w:val="2312745E"/>
    <w:rsid w:val="2E251C05"/>
    <w:rsid w:val="35D26812"/>
    <w:rsid w:val="59EB2715"/>
    <w:rsid w:val="61F94649"/>
    <w:rsid w:val="64C35DD0"/>
    <w:rsid w:val="6B354B8C"/>
    <w:rsid w:val="7242215A"/>
    <w:rsid w:val="73815756"/>
    <w:rsid w:val="7425314C"/>
    <w:rsid w:val="78C8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2024-01-15T01:38:00Z</dcterms:created>
  <dc:creator>zbb</dc:creator>
  <cp:lastModifiedBy>violet</cp:lastModifiedBy>
  <cp:lastPrinted>2024-02-02T01:17:23Z</cp:lastPrinted>
  <dcterms:modified xsi:type="dcterms:W3CDTF">2024-02-02T01:17:26Z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1E5D6A217D3B4986BC383343A8CDD99C</vt:lpwstr>
  </property>
</Properties>
</file>