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注意事项：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1.按包报名，报名供应商需完整提供相应包内所有的产品。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2.报名多个包的供应商，每个包的报名文件需分开装订。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-420" w:leftChars="0" w:firstLine="42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清单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第一包：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软件正版化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包括桌面PC操作系统、服务器操作系统（Windows Server系统、Linux系统)、微软SQL server数据库软件及客户端管理工具、微软Visual Studio开发工具、MDT部署工具、KMS许可集中服务管理平台。提供院内现有微软正版软件的日常维护和技术支持服务。包括对院内3台域控制器的升级服务，售后技术支持服务，3年（含日常运维指导、问题排查处理、升级变更部署、季度巡检等）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第二包：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网络安全等级保护测评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left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全院9个系统的网络安全三级等级保护测评服务，包括:HIS系统，LIS系统（包含血透系统），PACS系统，EMR系统，HRP系统，互联网医院（包括小程序） ，综合管理系统 （消毒供应、病理系统、急诊急救），门户网站（包含OA），手术麻醉及重症监护系统，不低于40学时的网络安全培训服务。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第三包：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智慧产科信息管理系统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包含但不限于产妇健康管理平台、医疗咨询平台等，实现对产妇和新生儿的智能化健康管理和医疗服务。智能化产妇监测设备，实现对产妇生命体征的实时监测和数据采集等。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第四包：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动态心电系统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包含包括实现全院级动态心电项目检查信息化建设，实现检查项目全程信息化流程、数据全院共享。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第五包：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4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放疗系统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4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搭建放疗系统平台，实现放疗全流程管理，数据全院共享。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第六包：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治疗管理系统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搭建实现数据互联互通，能记录治疗计划，实现治疗闭环管理。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第七包：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电子化招标管理平台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实现招标过程闭环管理，提高招标采购工作效率，进一步规范院内招标流程。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第八包：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医院科研管理系统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实现科研申报、过程管理、结题，费用报销等科研全程管理。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第九包：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体检检后管理系统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体检报告进行全面分析、评估、提供健康咨询和指导以及对健康危险因素进行干预的全过程。在体检过程中以及体检后，通过多方式收集和管理用于健康及疾病危险性评价、跟踪、健康行为指导的个人健康信息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第十包：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慢病管理系统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针对常见慢性病的诊疗与科研，辅助医院实现全流程管理。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-420" w:leftChars="0" w:firstLine="42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整体要求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符合《电子病历系统功能应用水平分级评价方法及标准（试行）》5级建设要求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符合《国家医疗健康信息区域卫生(医院)信息互联互通标准化成熟度测评方案（2020年版）》四级甲等建设要求。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符合《医院智慧服务分级评估标准体系（试行）》三级建设要求。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达到《信息安全技术信息系统安全等级保护基本要求》(GB/T22239-2019)三级要求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</w:t>
      </w:r>
      <w:r>
        <w:rPr>
          <w:rFonts w:hint="eastAsia"/>
          <w:lang w:val="en-US" w:eastAsia="zh-CN"/>
        </w:rPr>
        <w:t>公司经营资质、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法定代表人授权委托书</w:t>
      </w:r>
      <w:r>
        <w:rPr>
          <w:rFonts w:hint="eastAsia"/>
          <w:lang w:val="en-US" w:eastAsia="zh-CN"/>
        </w:rPr>
        <w:t>、项目开展所需的</w:t>
      </w:r>
      <w:r>
        <w:rPr>
          <w:rFonts w:hint="default"/>
          <w:lang w:val="en-US" w:eastAsia="zh-CN"/>
        </w:rPr>
        <w:t>相关资质。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提供详细的建设方案及分项明细预算单价。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软件项目均需要包含驻场服务。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提供同等或以上规模医院同类型项目建设案例。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-420" w:leftChars="0" w:firstLine="42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本次调研目的是广泛征集建设方案，并非方案比选，无需到院讲解和演示，参与本次调研的厂商，我院不做任何承诺。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本次调研的结果我院不做任何公示和解释。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本次调研最终解释权归院方。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向本院提交建设方案既默认同意以上条款。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BDB2A"/>
    <w:multiLevelType w:val="singleLevel"/>
    <w:tmpl w:val="868BDB2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DDA7E6F"/>
    <w:multiLevelType w:val="singleLevel"/>
    <w:tmpl w:val="9DDA7E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A00E160"/>
    <w:multiLevelType w:val="singleLevel"/>
    <w:tmpl w:val="AA00E160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3">
    <w:nsid w:val="AED705FE"/>
    <w:multiLevelType w:val="singleLevel"/>
    <w:tmpl w:val="AED705FE"/>
    <w:lvl w:ilvl="0" w:tentative="0">
      <w:start w:val="1"/>
      <w:numFmt w:val="decimal"/>
      <w:suff w:val="nothing"/>
      <w:lvlText w:val="%1．"/>
      <w:lvlJc w:val="left"/>
      <w:pPr>
        <w:ind w:left="-420" w:firstLine="400"/>
      </w:pPr>
      <w:rPr>
        <w:rFonts w:hint="default"/>
      </w:rPr>
    </w:lvl>
  </w:abstractNum>
  <w:abstractNum w:abstractNumId="4">
    <w:nsid w:val="BA9BFF0B"/>
    <w:multiLevelType w:val="singleLevel"/>
    <w:tmpl w:val="BA9BFF0B"/>
    <w:lvl w:ilvl="0" w:tentative="0">
      <w:start w:val="1"/>
      <w:numFmt w:val="decimal"/>
      <w:suff w:val="nothing"/>
      <w:lvlText w:val="%1．"/>
      <w:lvlJc w:val="left"/>
      <w:pPr>
        <w:ind w:left="-420" w:firstLine="400"/>
      </w:pPr>
      <w:rPr>
        <w:rFonts w:hint="default"/>
      </w:rPr>
    </w:lvl>
  </w:abstractNum>
  <w:abstractNum w:abstractNumId="5">
    <w:nsid w:val="C2F607D9"/>
    <w:multiLevelType w:val="singleLevel"/>
    <w:tmpl w:val="C2F607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43F1F72"/>
    <w:multiLevelType w:val="singleLevel"/>
    <w:tmpl w:val="D43F1F7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DFC1E017"/>
    <w:multiLevelType w:val="singleLevel"/>
    <w:tmpl w:val="DFC1E01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ECDECD5C"/>
    <w:multiLevelType w:val="singleLevel"/>
    <w:tmpl w:val="ECDECD5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F259638F"/>
    <w:multiLevelType w:val="singleLevel"/>
    <w:tmpl w:val="F25963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78DD9B6"/>
    <w:multiLevelType w:val="singleLevel"/>
    <w:tmpl w:val="278DD9B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4AC47F86"/>
    <w:multiLevelType w:val="singleLevel"/>
    <w:tmpl w:val="4AC47F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702D5983"/>
    <w:multiLevelType w:val="singleLevel"/>
    <w:tmpl w:val="702D59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7838"/>
    <w:rsid w:val="074704CB"/>
    <w:rsid w:val="12A70735"/>
    <w:rsid w:val="16880CFB"/>
    <w:rsid w:val="22FA25EF"/>
    <w:rsid w:val="299A1827"/>
    <w:rsid w:val="2DC778A9"/>
    <w:rsid w:val="30F8792D"/>
    <w:rsid w:val="34E02DF3"/>
    <w:rsid w:val="48E25246"/>
    <w:rsid w:val="4D67120C"/>
    <w:rsid w:val="4E4554B4"/>
    <w:rsid w:val="5101609D"/>
    <w:rsid w:val="57BE24E8"/>
    <w:rsid w:val="5FD45C8A"/>
    <w:rsid w:val="5FF91416"/>
    <w:rsid w:val="60AD6ADD"/>
    <w:rsid w:val="667C1E60"/>
    <w:rsid w:val="67035BD0"/>
    <w:rsid w:val="75277310"/>
    <w:rsid w:val="793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2023-10-30T07:11:00Z</dcterms:created>
  <dc:creator>zbb</dc:creator>
  <cp:lastModifiedBy>violet</cp:lastModifiedBy>
  <cp:lastPrinted>2024-02-26T01:52:42Z</cp:lastPrinted>
  <dcterms:modified xsi:type="dcterms:W3CDTF">2024-02-26T01:52:50Z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9A8D77CF7FF64860AF58335D6B04292B</vt:lpwstr>
  </property>
</Properties>
</file>