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临床营养诊疗管理系统项目</w:t>
      </w:r>
      <w:bookmarkStart w:id="0" w:name="_Toc14547"/>
      <w:r>
        <w:rPr>
          <w:rFonts w:hint="eastAsia" w:ascii="方正小标宋简体" w:hAnsi="方正小标宋简体" w:eastAsia="方正小标宋简体" w:cs="方正小标宋简体"/>
          <w:sz w:val="44"/>
          <w:szCs w:val="44"/>
          <w:lang w:eastAsia="zh-CN"/>
        </w:rPr>
        <w:t>建设</w:t>
      </w:r>
      <w:r>
        <w:rPr>
          <w:rFonts w:hint="eastAsia" w:ascii="方正小标宋简体" w:hAnsi="方正小标宋简体" w:eastAsia="方正小标宋简体" w:cs="方正小标宋简体"/>
          <w:sz w:val="44"/>
          <w:szCs w:val="44"/>
        </w:rPr>
        <w:t>需求</w:t>
      </w:r>
      <w:bookmarkEnd w:id="0"/>
    </w:p>
    <w:p>
      <w:pPr>
        <w:pageBreakBefore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目标</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构建一套与院内目前应用的：HIS、LIS、库房管理、病历管理、护理管理等系统进行了数据连接的营养诊疗管理系统。</w:t>
      </w:r>
      <w:r>
        <w:rPr>
          <w:rFonts w:hint="eastAsia" w:ascii="宋体" w:hAnsi="宋体" w:eastAsia="宋体" w:cs="宋体"/>
          <w:sz w:val="21"/>
          <w:szCs w:val="21"/>
        </w:rPr>
        <w:t>构建完整的营养诊疗体系，实现营养筛查、营养评估、营养诊断、营养干预、营养监测、营养计/退费，营养宣教，营养病历的全流程信息化管理；实现营养诊疗规范化管理，降低药占比和规范化管理水平的同时，实现营养科与临床科室多科室协作，提升患者诊疗效果；实现开展以临床主导的全院患者营养风险筛查管理；系统结构化的营养诊疗信息，可真正意义上院内信息互联互通，为科研和教学提供数据支撑</w:t>
      </w:r>
      <w:r>
        <w:rPr>
          <w:rFonts w:hint="eastAsia" w:ascii="宋体" w:hAnsi="宋体" w:eastAsia="宋体" w:cs="宋体"/>
          <w:sz w:val="21"/>
          <w:szCs w:val="21"/>
          <w:lang w:eastAsia="zh-CN"/>
        </w:rPr>
        <w:t>。</w:t>
      </w:r>
    </w:p>
    <w:p>
      <w:pPr>
        <w:pageBreakBefore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采购清单</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临床营养诊疗系统 1套</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移动营养诊疗系统 1套</w:t>
      </w:r>
    </w:p>
    <w:p>
      <w:pPr>
        <w:pageBreakBefore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参数要求</w:t>
      </w:r>
    </w:p>
    <w:p>
      <w:pPr>
        <w:pageBreakBefore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临床营养诊疗系统</w:t>
      </w:r>
    </w:p>
    <w:p>
      <w:pPr>
        <w:pStyle w:val="2"/>
        <w:pageBreakBefore w:val="0"/>
        <w:numPr>
          <w:ilvl w:val="0"/>
          <w:numId w:val="3"/>
        </w:numPr>
        <w:kinsoku/>
        <w:wordWrap/>
        <w:overflowPunct/>
        <w:topLinePunct w:val="0"/>
        <w:autoSpaceDE/>
        <w:autoSpaceDN/>
        <w:bidi w:val="0"/>
        <w:adjustRightInd/>
        <w:snapToGrid/>
        <w:spacing w:line="560" w:lineRule="exact"/>
        <w:ind w:left="665" w:leftChars="0" w:hanging="425" w:firstLineChars="0"/>
        <w:jc w:val="lef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营养门诊工作站</w:t>
      </w:r>
    </w:p>
    <w:tbl>
      <w:tblPr>
        <w:tblStyle w:val="8"/>
        <w:tblW w:w="82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74"/>
        <w:gridCol w:w="68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74" w:type="dxa"/>
            <w:tcBorders>
              <w:bottom w:val="single" w:color="auto" w:sz="4" w:space="0"/>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shd w:val="clear" w:color="auto" w:fill="auto"/>
              </w:rPr>
            </w:pPr>
            <w:r>
              <w:rPr>
                <w:rFonts w:hint="eastAsia" w:ascii="宋体" w:hAnsi="宋体" w:eastAsia="宋体" w:cs="宋体"/>
                <w:sz w:val="21"/>
                <w:szCs w:val="21"/>
                <w:lang w:val="en-US" w:eastAsia="zh-CN"/>
              </w:rPr>
              <w:t>功能模块</w:t>
            </w:r>
          </w:p>
        </w:tc>
        <w:tc>
          <w:tcPr>
            <w:tcW w:w="6819" w:type="dxa"/>
            <w:tcBorders>
              <w:bottom w:val="single" w:color="auto" w:sz="4" w:space="0"/>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shd w:val="clear" w:color="auto" w:fill="auto"/>
              </w:rPr>
            </w:pPr>
            <w:r>
              <w:rPr>
                <w:rFonts w:hint="eastAsia" w:ascii="宋体" w:hAnsi="宋体" w:eastAsia="宋体" w:cs="宋体"/>
                <w:sz w:val="21"/>
                <w:szCs w:val="21"/>
                <w:lang w:val="en-US" w:eastAsia="zh-CN"/>
              </w:rPr>
              <w:t>详细要求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jc w:val="center"/>
        </w:trPr>
        <w:tc>
          <w:tcPr>
            <w:tcW w:w="1474" w:type="dxa"/>
            <w:tcBorders>
              <w:top w:val="single" w:color="auto" w:sz="4" w:space="0"/>
              <w:bottom w:val="single" w:color="auto" w:sz="4" w:space="0"/>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shd w:val="clear" w:color="auto" w:fill="auto"/>
              </w:rPr>
            </w:pPr>
            <w:r>
              <w:rPr>
                <w:rFonts w:hint="eastAsia" w:ascii="宋体" w:hAnsi="宋体" w:eastAsia="宋体" w:cs="宋体"/>
                <w:sz w:val="21"/>
                <w:szCs w:val="21"/>
                <w:lang w:val="en-US" w:eastAsia="zh-CN"/>
              </w:rPr>
              <w:t>门诊患者</w:t>
            </w:r>
          </w:p>
        </w:tc>
        <w:tc>
          <w:tcPr>
            <w:tcW w:w="6819" w:type="dxa"/>
            <w:tcBorders>
              <w:top w:val="single" w:color="auto" w:sz="4" w:space="0"/>
              <w:bottom w:val="single" w:color="auto" w:sz="4" w:space="0"/>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lang w:val="zh-CN" w:eastAsia="zh-CN"/>
              </w:rPr>
              <w:t>可支持医院HIS系统或集成平台对接读取指定的挂号病人信息。</w:t>
            </w:r>
          </w:p>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待诊病人列表，可根据门诊号或姓名等快速查到病人。</w:t>
            </w:r>
          </w:p>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1"/>
                <w:szCs w:val="21"/>
                <w:shd w:val="clear" w:color="auto" w:fill="auto"/>
              </w:rPr>
            </w:pPr>
            <w:r>
              <w:rPr>
                <w:rFonts w:hint="eastAsia" w:ascii="宋体" w:hAnsi="宋体" w:eastAsia="宋体" w:cs="宋体"/>
                <w:sz w:val="21"/>
                <w:szCs w:val="21"/>
                <w:lang w:val="en-US" w:eastAsia="zh-CN"/>
              </w:rPr>
              <w:t>★获取门诊HIS关于营养制剂的处方信息，病例系统对接。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1474" w:type="dxa"/>
            <w:tcBorders>
              <w:top w:val="single" w:color="auto" w:sz="4" w:space="0"/>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营养筛查</w:t>
            </w:r>
          </w:p>
        </w:tc>
        <w:tc>
          <w:tcPr>
            <w:tcW w:w="6819" w:type="dxa"/>
            <w:tcBorders>
              <w:top w:val="single" w:color="auto" w:sz="4" w:space="0"/>
              <w:tl2br w:val="nil"/>
              <w:tr2bl w:val="nil"/>
            </w:tcBorders>
            <w:vAlign w:val="center"/>
          </w:tcPr>
          <w:p>
            <w:pPr>
              <w:pStyle w:val="9"/>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包括但不限于：NRS2002、儿童营养风险评分PNYS、儿童营养不良评估STAMP、微型营养评定法MNA-sf、营养不良及发育不良筛查STRONGkids、营养风险筛查MUST；营养不良炎症评分MIS、营养不良筛查工具MST、肿瘤患者营养不良筛查工具MSTC、微型营养评价MNA、微型营养评价MNA-SF、儿科营养不良评估筛查工具STAMP、儿科营养风险评分PNYS。营养需求评</w:t>
            </w:r>
            <w:bookmarkStart w:id="1" w:name="_GoBack"/>
            <w:bookmarkEnd w:id="1"/>
            <w:r>
              <w:rPr>
                <w:rFonts w:hint="eastAsia" w:ascii="宋体" w:hAnsi="宋体" w:eastAsia="宋体" w:cs="宋体"/>
                <w:kern w:val="2"/>
                <w:sz w:val="21"/>
                <w:szCs w:val="21"/>
                <w:lang w:val="en-US" w:eastAsia="zh-CN" w:bidi="ar-SA"/>
              </w:rPr>
              <w:t>定表、胃肠道功能评价表、SGA、PG-SGA等。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营养评估</w:t>
            </w:r>
          </w:p>
        </w:tc>
        <w:tc>
          <w:tcPr>
            <w:tcW w:w="6819"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包括但不限于：体征评估、生化评估、膳食评估（24小时）、消化道症状评估，运动评估，孕期体重评估。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筛查列表</w:t>
            </w:r>
          </w:p>
        </w:tc>
        <w:tc>
          <w:tcPr>
            <w:tcW w:w="6819"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所有患者筛查记录可以通过筛查日期、姓名、筛查种类进行筛选。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90" w:hRule="atLeast"/>
          <w:jc w:val="center"/>
        </w:trPr>
        <w:tc>
          <w:tcPr>
            <w:tcW w:w="1474" w:type="dxa"/>
            <w:tcBorders>
              <w:bottom w:val="single" w:color="auto" w:sz="4" w:space="0"/>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运动管理</w:t>
            </w:r>
          </w:p>
        </w:tc>
        <w:tc>
          <w:tcPr>
            <w:tcW w:w="6819" w:type="dxa"/>
            <w:tcBorders>
              <w:bottom w:val="single" w:color="auto" w:sz="4" w:space="0"/>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运动处方可以结合膳食摄入分析，通过运动能量消耗的方式改善患者的营养状况。系统能够提供全面的能量消耗评价，供营养师下达运动处方建议；运动种类齐全，罗列常见运动项目，包含了走路、跑步、体育运动、核心运动、调节运动等；每种运动项目都给出了标准的运动消耗，方便营养师进行实时查看；计算摄入量、基础代谢与运动消耗，系统需要能自动测算1个月后的预计减重公斤数。</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★与体成分分析仪建立数据接口。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jc w:val="center"/>
        </w:trPr>
        <w:tc>
          <w:tcPr>
            <w:tcW w:w="1474" w:type="dxa"/>
            <w:tcBorders>
              <w:top w:val="single" w:color="auto" w:sz="4" w:space="0"/>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营养诊断</w:t>
            </w:r>
          </w:p>
        </w:tc>
        <w:tc>
          <w:tcPr>
            <w:tcW w:w="6819" w:type="dxa"/>
            <w:tcBorders>
              <w:top w:val="single" w:color="auto" w:sz="4" w:space="0"/>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可以根据患者筛评结果下达患者营养诊断</w:t>
            </w:r>
            <w:r>
              <w:rPr>
                <w:rFonts w:hint="eastAsia" w:ascii="宋体" w:hAnsi="宋体" w:eastAsia="宋体" w:cs="宋体"/>
                <w:color w:val="00000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营养干预</w:t>
            </w:r>
          </w:p>
        </w:tc>
        <w:tc>
          <w:tcPr>
            <w:tcW w:w="6819"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要求具备营养处方设置功能，可以按公式，消耗来生成营养推荐量，并且能根据活动系数、应激系数进行调整，再将其分配至肠外，肠内，膳食的推荐量中。</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★功能细则</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根据患者人群分类情况智能计算推荐营养素摄入量与本次膳食处方实际营养素摄入量。</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生成饼状图、列表对实际营养素摄入量与推荐营养素摄入量差异分析。</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处方模板维护。可根据本次开单，对膳食处方进行模板保存，方便以后开单快速调用。</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处方模板调用。可通过处方模板库，直接调用处方模板，快速下达膳食处方。</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SA"/>
              </w:rPr>
              <w:t>历史食谱查询。支持查询本次门诊食谱处方明细及历史食谱处方明细。</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智能生成膳食配餐报表，并按天食物结构分析营养素来源。</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支持膳食配餐表打印。</w:t>
            </w:r>
          </w:p>
          <w:p>
            <w:pPr>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可以查看制剂的适应症与禁忌症说明书。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肠内标签</w:t>
            </w:r>
          </w:p>
        </w:tc>
        <w:tc>
          <w:tcPr>
            <w:tcW w:w="6819"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具有计/退费功能的标签打印，可以用户自定义显示方式，大图标模式或列表模式，可以灵活设置退费数量及每个标签的打印数量。</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具有打印处方单功能。</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要求在医嘱计费时自动进行出库，退费时进行自动退库。</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患者可在制剂未送达前进行退费。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营养病历</w:t>
            </w:r>
          </w:p>
        </w:tc>
        <w:tc>
          <w:tcPr>
            <w:tcW w:w="6819"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可以生成结构化的电子病历，可以选择需要打印的相关内容。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食谱管理</w:t>
            </w:r>
          </w:p>
        </w:tc>
        <w:tc>
          <w:tcPr>
            <w:tcW w:w="6819"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允许自定义经典食谱。</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经典食谱可长期、反复调用，并可根据患者进行个性化修改。</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可以自动生成系统标准的膳食报告单，需含有分类分析图表，如蛋白质分类，来源，膳食宝塔结构，并可打印。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系统后台管理</w:t>
            </w:r>
          </w:p>
        </w:tc>
        <w:tc>
          <w:tcPr>
            <w:tcW w:w="6819"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sz w:val="21"/>
                <w:szCs w:val="21"/>
              </w:rPr>
            </w:pPr>
            <w:r>
              <w:rPr>
                <w:rFonts w:hint="eastAsia" w:ascii="宋体" w:hAnsi="宋体" w:eastAsia="宋体" w:cs="宋体"/>
                <w:kern w:val="2"/>
                <w:sz w:val="21"/>
                <w:szCs w:val="21"/>
                <w:lang w:val="en-US" w:eastAsia="zh-CN" w:bidi="ar-SA"/>
              </w:rPr>
              <w:t>包括但不限于：修改密码、诊室管理、权限管理、用户管理、制剂管理、系统设置、科室管理、授权管理、疾病管理、活动管理、食物菜单、营养素设置、食物库管理、食物类别管理、膳食类别管理、肠内途径管理、执行频次管理、制剂类别管理、活动类别管理、活动强度管理、应激系数管理、营养素阙值设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74" w:type="dxa"/>
            <w:tcBorders>
              <w:tl2br w:val="nil"/>
              <w:tr2bl w:val="nil"/>
            </w:tcBorders>
            <w:vAlign w:val="center"/>
          </w:tcPr>
          <w:p>
            <w:pPr>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营养宣教</w:t>
            </w:r>
          </w:p>
        </w:tc>
        <w:tc>
          <w:tcPr>
            <w:tcW w:w="6819"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具备患者宣教功能，要求能对接医院微信公众平台或短信平台，宣教内容支持图文，支持生成宣教二维码，供患者扫描查看宣教内容。</w:t>
            </w:r>
          </w:p>
        </w:tc>
      </w:tr>
    </w:tbl>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p>
    <w:p>
      <w:pPr>
        <w:pStyle w:val="2"/>
        <w:pageBreakBefore w:val="0"/>
        <w:numPr>
          <w:ilvl w:val="0"/>
          <w:numId w:val="3"/>
        </w:numPr>
        <w:kinsoku/>
        <w:wordWrap/>
        <w:overflowPunct/>
        <w:topLinePunct w:val="0"/>
        <w:autoSpaceDE/>
        <w:autoSpaceDN/>
        <w:bidi w:val="0"/>
        <w:adjustRightInd/>
        <w:snapToGrid/>
        <w:spacing w:line="560" w:lineRule="exact"/>
        <w:ind w:left="665" w:leftChars="0" w:hanging="425" w:firstLineChars="0"/>
        <w:jc w:val="lef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住院营养管理</w:t>
      </w:r>
    </w:p>
    <w:tbl>
      <w:tblPr>
        <w:tblStyle w:val="8"/>
        <w:tblW w:w="82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1"/>
        <w:gridCol w:w="68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1"/>
                <w:szCs w:val="21"/>
              </w:rPr>
            </w:pPr>
            <w:r>
              <w:rPr>
                <w:rFonts w:hint="eastAsia" w:ascii="宋体" w:hAnsi="宋体" w:eastAsia="宋体" w:cs="宋体"/>
                <w:sz w:val="21"/>
                <w:szCs w:val="21"/>
                <w:lang w:val="en-US" w:eastAsia="zh-CN"/>
              </w:rPr>
              <w:t>功能模块</w:t>
            </w:r>
          </w:p>
        </w:tc>
        <w:tc>
          <w:tcPr>
            <w:tcW w:w="6802"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1"/>
                <w:szCs w:val="21"/>
              </w:rPr>
            </w:pPr>
            <w:r>
              <w:rPr>
                <w:rFonts w:hint="eastAsia" w:ascii="宋体" w:hAnsi="宋体" w:eastAsia="宋体" w:cs="宋体"/>
                <w:kern w:val="2"/>
                <w:sz w:val="21"/>
                <w:szCs w:val="21"/>
                <w:lang w:val="en-US" w:eastAsia="zh-CN" w:bidi="ar-SA"/>
              </w:rPr>
              <w:t>详细要求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患者管理</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全院在院病人列表，可查看病人信息，如入院时间、科室、床号、姓名、住院号、饮食医嘱、检查检验结果</w:t>
            </w:r>
          </w:p>
          <w:p>
            <w:pPr>
              <w:pStyle w:val="9"/>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★可对在院患者营养筛查完成情况及风险情况进行区分，便于快速定位患者，进行管理。</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★可查询出院患者及历次出入院记录。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营养筛查</w:t>
            </w:r>
          </w:p>
        </w:tc>
        <w:tc>
          <w:tcPr>
            <w:tcW w:w="6802"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包括但不限于：NRS2002、PG-SGA筛查、主观整体评估SGA、营养不良炎症评分MIS、GLIM、危重症营养风险评分（NUTRIC SCORE），STAMP。</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营养评估</w:t>
            </w:r>
          </w:p>
        </w:tc>
        <w:tc>
          <w:tcPr>
            <w:tcW w:w="6802"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包括但不限于：体征评估、生化评估、膳食评估、消化道症状评估，运动评估，孕期体格评估。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筛查列表</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所有患者筛查记录可以通过筛查日期、住院号、姓名、病区、筛查种类进行筛选。</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要求支持显示筛查人数，未筛查人数，筛查率，需复筛人数。</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★可按多种条件查询对应的患者群体及其筛评结果，可以按筛评时间或筛评得分进行排序查看。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会诊列表</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可与院内系统完成对接，读取营养会诊指令，集中化查看会诊指令，根据会诊情况填写会诊意见。</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会诊结束可生成系统标准的营养会诊报告。</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可根据条件查询会诊病人，查看会诊状态及会诊报告。</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zh-CN" w:eastAsia="zh-CN" w:bidi="ar-SA"/>
              </w:rPr>
              <w:t>针对临床科室筛查有风险患者可通知主管医生及临床营养科，提醒主管医生向营养科发起会诊。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营养会诊</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可按医院会诊单模板生成营养科会诊单。</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会诊结束可生成系统标准的营养会诊报告。</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会诊报告可导出打印，以便夹入病历中。</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会诊意见可反馈给临床，供临床调阅。</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zh-CN" w:eastAsia="zh-CN" w:bidi="ar-SA"/>
              </w:rPr>
              <w:t>要求能在会诊回复中插入化验记录，营养干预指导原则。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营养干预</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要求具备营养处方设置功能，可以按公式，消耗来生成营养推荐量，并且能根据活动系数、应激系数进行调整，再将其分配至肠外，肠内，膳食的推荐量中。</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营养干预页面需要整合统一，干净整洁，要求同一页面展示多种干预方式，包含：肠内干预、肠外干预、膳食干预以及在页面内显示整体营养素分析，分析包括每种干预方式占比，整体占比等。</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可以查看营养制剂的适应症与禁忌症说明书。</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支持根据历史医嘱生成查房记录。</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肠内处方的营养素数据能够被各临床科室读取到。</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系统内置标准肠外用药药品库，可选择患者实际肠外用药情况，自动计算肠外营养素、能量、渗透压、热氮比、糖脂比等信息。</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药品库可按医院实际情况修改、添加，或变更营养成分含量、信息。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标签打印</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具有计/退费功能的标签打印，可以用户自定义显示方式，大图标模式或列表模式，可以灵活设置退费数量及每个标签的打印数量。</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要求在医嘱计费时自动进行出库，退费时进行自动退库。</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患者可在制剂未送达前进行退费。</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要求可以在标签上设置营养制剂有效期，精确到小时。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营养随诊</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初次营养访视单：首次对患者情况进行随访，对目前情况进行调查，包括基本情况、实验室检查情况、禁食和营养供应途径情况、目前膳食供应种类及摄入量情况、综合评价、营养摄入计划和方案调整。</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再次营养访视单：再次随访根据之前患者病情变化如有必要可进行调整。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营养监测</w:t>
            </w:r>
          </w:p>
        </w:tc>
        <w:tc>
          <w:tcPr>
            <w:tcW w:w="6802"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包括但不限于：营养监测、生化结果监测、肠内干预监测、血压监测、血糖监测以及出入量监测。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营养病历</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可以生成结构化的电子病历，可以选择需要打印的相关内容。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医嘱统计</w:t>
            </w:r>
          </w:p>
        </w:tc>
        <w:tc>
          <w:tcPr>
            <w:tcW w:w="6802"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通过检索信息，直接查看一段时间内的肠外、肠内或膳食医嘱统计情况。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1" w:hRule="atLeast"/>
          <w:jc w:val="center"/>
        </w:trPr>
        <w:tc>
          <w:tcPr>
            <w:tcW w:w="1491" w:type="dxa"/>
            <w:tcBorders>
              <w:bottom w:val="single" w:color="auto" w:sz="4" w:space="0"/>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质控报表</w:t>
            </w:r>
          </w:p>
        </w:tc>
        <w:tc>
          <w:tcPr>
            <w:tcW w:w="6802" w:type="dxa"/>
            <w:tcBorders>
              <w:bottom w:val="single" w:color="auto" w:sz="4" w:space="0"/>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★要求根据临床营养专业医疗质量控制指标（2022年版）生成对应的国家、省级质控报表。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 w:hRule="atLeast"/>
          <w:jc w:val="center"/>
        </w:trPr>
        <w:tc>
          <w:tcPr>
            <w:tcW w:w="1491" w:type="dxa"/>
            <w:tcBorders>
              <w:top w:val="single" w:color="auto" w:sz="4" w:space="0"/>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不良事件</w:t>
            </w:r>
          </w:p>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报告表</w:t>
            </w:r>
          </w:p>
        </w:tc>
        <w:tc>
          <w:tcPr>
            <w:tcW w:w="6802" w:type="dxa"/>
            <w:tcBorders>
              <w:top w:val="single" w:color="auto" w:sz="4" w:space="0"/>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★要求可以嵌入医生站或护理系统，允许医护人员填报，营养科人员进行分析，反馈。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财务统计</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查看一段时间内的财务报表，也可出Excel报表进行数据统计。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系统后台设置</w:t>
            </w:r>
          </w:p>
        </w:tc>
        <w:tc>
          <w:tcPr>
            <w:tcW w:w="6802"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括但不限于：修改密码、接口管理、科室管理、权限管理、用户管理、床号管理、病区管理、食物菜单、处方类型、餐次设置、膳食设置、菜谱套餐、病人类别、系统设置、授权管理、疾病管理、营养素设置、食物库管理、科室制剂管理、制剂类别管理、肠内标签模板、肠内途径管理、肠内制剂管理、肠外制剂管理、执行频次管理、膳食类别管理、活动强度管理、应激系数管理、食物类别管理，实验室指标管理。</w:t>
            </w:r>
          </w:p>
        </w:tc>
      </w:tr>
    </w:tbl>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p>
    <w:p>
      <w:pPr>
        <w:pStyle w:val="2"/>
        <w:pageBreakBefore w:val="0"/>
        <w:numPr>
          <w:ilvl w:val="0"/>
          <w:numId w:val="3"/>
        </w:numPr>
        <w:kinsoku/>
        <w:wordWrap/>
        <w:overflowPunct/>
        <w:topLinePunct w:val="0"/>
        <w:autoSpaceDE/>
        <w:autoSpaceDN/>
        <w:bidi w:val="0"/>
        <w:adjustRightInd/>
        <w:snapToGrid/>
        <w:spacing w:line="560" w:lineRule="exact"/>
        <w:ind w:left="665" w:leftChars="0" w:hanging="425" w:firstLineChars="0"/>
        <w:jc w:val="lef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库房管理</w:t>
      </w:r>
    </w:p>
    <w:tbl>
      <w:tblPr>
        <w:tblStyle w:val="8"/>
        <w:tblW w:w="82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72"/>
        <w:gridCol w:w="60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2272"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功能模块</w:t>
            </w:r>
          </w:p>
        </w:tc>
        <w:tc>
          <w:tcPr>
            <w:tcW w:w="6021"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医院物资管理系统对接</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★满足医院物资管理合规要求。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库存申请</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★营养科进销存管理系统为二级库，院内有一级库，进销存管理系统需具备向一级库申请库存功能，一级库审核完成后，可以自动同步库存。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入库管理</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对肠内制剂批次号、到期时间等基本信息录入。</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支持同产品不同批次入库。</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支持肠内制剂批量入库。</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支持整包装及拆分包装同时入库。</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自动计算本次入库肠内制剂小计及总金额。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出库管理</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自动生成门诊出库单。</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可对产品进行报损出库，并对出库产品进行批次管理。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vMerge w:val="restart"/>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预警设置</w:t>
            </w:r>
          </w:p>
        </w:tc>
        <w:tc>
          <w:tcPr>
            <w:tcW w:w="6021" w:type="dxa"/>
            <w:vMerge w:val="restart"/>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包括但不限于：近效期预警、滞销预警、低库存预警、预警设置；相应预警信息形成报表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vMerge w:val="continue"/>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p>
        </w:tc>
        <w:tc>
          <w:tcPr>
            <w:tcW w:w="6021" w:type="dxa"/>
            <w:vMerge w:val="continue"/>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单据查询</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入库单分页条件查询。可自主配置每页显示行数。</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可查询单条入库单产品明细信息。</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支持入库单打印。</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出库单分页条件查询。可自主配置每页显示行数。</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可查询单条出库单产品明细信息。</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支持出库单打印。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库存查询</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库存汇总分页条件查询。可自主配置每页显示行数。</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可按产品汇总查询当前实时库存信息。</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支持库存汇总表打印。</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库存批次分页条件查询。可自主配置每页显示行数。</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可按产品批次查询当前实时库存信息。</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支持库存批次明细表打印。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库存盘点</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★需支持使用扫码枪扫二维码/条形码进行库存盘点，同时支持损耗比例设置</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可根据操作用户自行配置盘点时间，按周、按月等。</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可根据上次盘点单生成时间手动盘点。</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自动生成盘点单数据信息。</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支持对历史盘点单查询。</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支持盘点单打印。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2" w:type="dxa"/>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货柜管理</w:t>
            </w:r>
          </w:p>
        </w:tc>
        <w:tc>
          <w:tcPr>
            <w:tcW w:w="6021" w:type="dxa"/>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可根据操作用户实际货柜生成3D货柜效果图。</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可对货柜维护产品摆放信息。</w:t>
            </w:r>
          </w:p>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显示产品库存信息。</w:t>
            </w:r>
          </w:p>
        </w:tc>
      </w:tr>
    </w:tbl>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p>
    <w:p>
      <w:pPr>
        <w:pStyle w:val="2"/>
        <w:pageBreakBefore w:val="0"/>
        <w:numPr>
          <w:ilvl w:val="0"/>
          <w:numId w:val="3"/>
        </w:numPr>
        <w:kinsoku/>
        <w:wordWrap/>
        <w:overflowPunct/>
        <w:topLinePunct w:val="0"/>
        <w:autoSpaceDE/>
        <w:autoSpaceDN/>
        <w:bidi w:val="0"/>
        <w:adjustRightInd/>
        <w:snapToGrid/>
        <w:spacing w:line="560" w:lineRule="exact"/>
        <w:ind w:left="665" w:leftChars="0" w:hanging="425" w:firstLineChars="0"/>
        <w:jc w:val="left"/>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数据统计功能</w:t>
      </w:r>
    </w:p>
    <w:tbl>
      <w:tblPr>
        <w:tblStyle w:val="8"/>
        <w:tblW w:w="82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1"/>
        <w:gridCol w:w="68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功能模块</w:t>
            </w:r>
          </w:p>
        </w:tc>
        <w:tc>
          <w:tcPr>
            <w:tcW w:w="6802"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1"/>
                <w:szCs w:val="21"/>
              </w:rPr>
            </w:pPr>
            <w:r>
              <w:rPr>
                <w:rFonts w:hint="eastAsia" w:ascii="宋体" w:hAnsi="宋体" w:eastAsia="宋体" w:cs="宋体"/>
                <w:kern w:val="2"/>
                <w:sz w:val="21"/>
                <w:szCs w:val="21"/>
                <w:lang w:val="en-US" w:eastAsia="zh-CN" w:bidi="ar-SA"/>
              </w:rPr>
              <w:t>详细要求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质控报表</w:t>
            </w:r>
          </w:p>
        </w:tc>
        <w:tc>
          <w:tcPr>
            <w:tcW w:w="6802" w:type="dxa"/>
            <w:tcBorders>
              <w:tl2br w:val="nil"/>
              <w:tr2bl w:val="nil"/>
            </w:tcBorders>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★要求根据每年的临床营养专业医疗质量控制指标生成对应的国家、省级质控报表。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不良事件</w:t>
            </w:r>
          </w:p>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报告表</w:t>
            </w:r>
          </w:p>
        </w:tc>
        <w:tc>
          <w:tcPr>
            <w:tcW w:w="6802" w:type="dxa"/>
            <w:tcBorders>
              <w:tl2br w:val="nil"/>
              <w:tr2bl w:val="nil"/>
            </w:tcBorders>
            <w:vAlign w:val="center"/>
          </w:tcPr>
          <w:p>
            <w:pPr>
              <w:pStyle w:val="5"/>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★要求可以嵌入医生站或护理系统，允许医护人员填报，营养科人员进行分析，反馈。</w:t>
            </w:r>
          </w:p>
        </w:tc>
      </w:tr>
    </w:tbl>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p>
    <w:p>
      <w:pPr>
        <w:pageBreakBefore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移动营养诊疗系统</w:t>
      </w:r>
    </w:p>
    <w:tbl>
      <w:tblPr>
        <w:tblStyle w:val="8"/>
        <w:tblW w:w="82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1"/>
        <w:gridCol w:w="68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功能模块</w:t>
            </w:r>
          </w:p>
        </w:tc>
        <w:tc>
          <w:tcPr>
            <w:tcW w:w="6802"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1"/>
                <w:szCs w:val="21"/>
              </w:rPr>
            </w:pPr>
            <w:r>
              <w:rPr>
                <w:rFonts w:hint="eastAsia" w:ascii="宋体" w:hAnsi="宋体" w:eastAsia="宋体" w:cs="宋体"/>
                <w:kern w:val="2"/>
                <w:sz w:val="21"/>
                <w:szCs w:val="21"/>
                <w:lang w:val="en-US" w:eastAsia="zh-CN" w:bidi="ar-SA"/>
              </w:rPr>
              <w:t>详细要求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架构</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★需要采用B/S模式，PAD上不允许存储患者信息及营养诊疗信息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功能与界面</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★需要与住院营养诊疗信息化管理系统功能保持一致</w:t>
            </w:r>
          </w:p>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界面风格与排版与PC端住院营养诊疗信息化管理系统保持一致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91" w:type="dxa"/>
            <w:tcBorders>
              <w:tl2br w:val="nil"/>
              <w:tr2bl w:val="nil"/>
            </w:tcBorders>
            <w:vAlign w:val="center"/>
          </w:tcPr>
          <w:p>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设备与支持</w:t>
            </w:r>
          </w:p>
        </w:tc>
        <w:tc>
          <w:tcPr>
            <w:tcW w:w="6802" w:type="dxa"/>
            <w:tcBorders>
              <w:tl2br w:val="nil"/>
              <w:tr2bl w:val="nil"/>
            </w:tcBorders>
            <w:vAlign w:val="center"/>
          </w:tcPr>
          <w:p>
            <w:pPr>
              <w:pStyle w:val="3"/>
              <w:pageBreakBefore w:val="0"/>
              <w:kinsoku/>
              <w:wordWrap/>
              <w:overflowPunct/>
              <w:topLinePunct w:val="0"/>
              <w:autoSpaceDE/>
              <w:autoSpaceDN/>
              <w:bidi w:val="0"/>
              <w:adjustRightInd/>
              <w:snapToGrid/>
              <w:spacing w:after="0" w:line="5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网络支持5G；Android操作系统平板。</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2908C"/>
    <w:multiLevelType w:val="singleLevel"/>
    <w:tmpl w:val="AEE2908C"/>
    <w:lvl w:ilvl="0" w:tentative="0">
      <w:start w:val="1"/>
      <w:numFmt w:val="chineseCounting"/>
      <w:suff w:val="nothing"/>
      <w:lvlText w:val="（%1）"/>
      <w:lvlJc w:val="left"/>
      <w:pPr>
        <w:ind w:left="0" w:firstLine="420"/>
      </w:pPr>
      <w:rPr>
        <w:rFonts w:hint="eastAsia"/>
      </w:rPr>
    </w:lvl>
  </w:abstractNum>
  <w:abstractNum w:abstractNumId="1">
    <w:nsid w:val="F8316E39"/>
    <w:multiLevelType w:val="singleLevel"/>
    <w:tmpl w:val="F8316E39"/>
    <w:lvl w:ilvl="0" w:tentative="0">
      <w:start w:val="1"/>
      <w:numFmt w:val="decimal"/>
      <w:lvlText w:val="(%1)"/>
      <w:lvlJc w:val="left"/>
      <w:pPr>
        <w:ind w:left="425" w:hanging="425"/>
      </w:pPr>
      <w:rPr>
        <w:rFonts w:hint="default"/>
      </w:rPr>
    </w:lvl>
  </w:abstractNum>
  <w:abstractNum w:abstractNumId="2">
    <w:nsid w:val="3CFE19B1"/>
    <w:multiLevelType w:val="singleLevel"/>
    <w:tmpl w:val="3CFE19B1"/>
    <w:lvl w:ilvl="0" w:tentative="0">
      <w:start w:val="1"/>
      <w:numFmt w:val="decimal"/>
      <w:lvlText w:val="%1."/>
      <w:lvlJc w:val="left"/>
      <w:pPr>
        <w:ind w:left="665" w:hanging="425"/>
      </w:pPr>
      <w:rPr>
        <w:rFonts w:hint="default"/>
      </w:rPr>
    </w:lvl>
  </w:abstractNum>
  <w:abstractNum w:abstractNumId="3">
    <w:nsid w:val="7596D8ED"/>
    <w:multiLevelType w:val="singleLevel"/>
    <w:tmpl w:val="7596D8ED"/>
    <w:lvl w:ilvl="0" w:tentative="0">
      <w:start w:val="1"/>
      <w:numFmt w:val="chineseCounting"/>
      <w:suff w:val="nothing"/>
      <w:lvlText w:val="%1、"/>
      <w:lvlJc w:val="left"/>
      <w:pPr>
        <w:ind w:left="0" w:firstLine="420"/>
      </w:pPr>
      <w:rPr>
        <w:rFonts w:hint="eastAsia"/>
        <w:b/>
        <w:bC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17478"/>
    <w:rsid w:val="37EF5548"/>
    <w:rsid w:val="54C1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spacing w:line="240" w:lineRule="auto"/>
      <w:ind w:firstLine="420" w:firstLineChars="200"/>
    </w:pPr>
    <w:rPr>
      <w:rFonts w:ascii="Times New Roman" w:hAnsi="Times New Roman" w:eastAsia="宋体" w:cs="Times New Roman"/>
      <w:sz w:val="28"/>
      <w:szCs w:val="24"/>
    </w:rPr>
  </w:style>
  <w:style w:type="table" w:customStyle="1" w:styleId="8">
    <w:name w:val="网格型浅色1"/>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2024-02-26T02:21:00Z</dcterms:created>
  <dc:creator>violet</dc:creator>
  <cp:lastModifiedBy>violet</cp:lastModifiedBy>
  <cp:lastPrinted>2024-02-26T02:28:25Z</cp:lastPrinted>
  <dcterms:modified xsi:type="dcterms:W3CDTF">2024-02-26T02:32:17Z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A1475BBD01304A4CB87ACCF699F6FF80</vt:lpwstr>
  </property>
</Properties>
</file>