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  <w:t>用于检测血液标本中的IL-6、IL-10。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  <w:t>检测原理：磁微粒载体ALP酶促化学发光。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  <w:t>配套设备：适用于Sharay 1600全自动化学发光测定仪。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  <w:t>包含开展本项目所需的所有试剂、耗材、质控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4"/>
          <w:szCs w:val="32"/>
          <w:highlight w:val="none"/>
          <w:shd w:val="clear" w:color="auto" w:fill="auto"/>
          <w:lang w:val="en-US" w:eastAsia="zh-CN"/>
        </w:rPr>
        <w:t>品和校准品。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E2B41"/>
    <w:multiLevelType w:val="singleLevel"/>
    <w:tmpl w:val="5FFE2B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51"/>
    <w:rsid w:val="43D13F88"/>
    <w:rsid w:val="45526193"/>
    <w:rsid w:val="4C1F7931"/>
    <w:rsid w:val="588F02E0"/>
    <w:rsid w:val="61353EAC"/>
    <w:rsid w:val="762E47A0"/>
    <w:rsid w:val="786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zbb</dc:creator>
  <cp:lastModifiedBy>violet</cp:lastModifiedBy>
  <cp:lastPrinted>2024-03-27T11:26:55Z</cp:lastPrinted>
  <dcterms:modified xsi:type="dcterms:W3CDTF">2024-03-27T11:26:58Z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05EFB108696F401183F23FDAB78341E6</vt:lpwstr>
  </property>
</Properties>
</file>