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微软雅黑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/>
          <w:sz w:val="44"/>
          <w:szCs w:val="44"/>
        </w:rPr>
        <w:t>防统方系统升级要求</w:t>
      </w:r>
    </w:p>
    <w:p>
      <w:pPr>
        <w:jc w:val="center"/>
        <w:rPr>
          <w:rFonts w:ascii="方正小标宋简体" w:hAnsi="微软雅黑" w:eastAsia="方正小标宋简体"/>
          <w:sz w:val="44"/>
          <w:szCs w:val="44"/>
        </w:rPr>
      </w:pPr>
    </w:p>
    <w:p>
      <w:pPr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一、系统功能部分升级要求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（一）统方事件查询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1、按统方事件的级别（报警、一般、其他）、行为终端 IP 地址、操作用户、时间等条件进行查询。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2、将统方事件查询结果中的药品或耗材信息、账号信息等信息翻译， 并将专业复杂的统方行为用直观明确的方式表达出来。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3、将统方事件查询结果导出为文档。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4、具有统方事件进行备注和审批功能。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（二）、统方事件统计报告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1、系统能自动统计、展示最近 30 天统方事件日历统计汇总和统方事件排名列表。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2、系统能自动对统方事件进行 TOP10 汇总统计分析，支持对统方客户端使用的程序、客户端 IP、用户名进行图形化排名展示。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3、系统能自动按周、月、季度出具统方事件统计报表下载功能等。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（三）统方事件处置功能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1、系统能根据监管部门的要求对统方事件的报警级别变更、忽略等处置。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2、系统能对统方事件的关注、审批、备注等一系列的处置操作。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（四）、防统方规则管理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1、系统自带防统方知识库的内置规则和策略。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2、系统能根据医院HIS系统的相关数据库特征及统方行为要素自定义规则，包括报警、记录不报警、忽略等功能。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（五）、统方行为告警设置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1、系统能根据医院 HIS 系统的数据库特征自动分析统方行为，无需人工干预即可完成统方行为的识别。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2、告警信息自动发送功能。系统能将发现的统方行为，通过短信、邮件等其他通信手段第一时间向相关管理人员发送告警通知，使统方行为能及时被发现和处理。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（六）、系统集成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1、防统方系统能与医院其他信息系统进行对接，自动获取或者管理人员手动导入全院终端信息、科室信息等基础管理信息，能对终端IP、用户账号及对应科室的详细描述。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2、防统方系统能与医院HIS系统的相关药品字典或处方信息进行同步，确保系统对统方行为翻译的准确性。</w:t>
      </w:r>
    </w:p>
    <w:p>
      <w:pPr>
        <w:pStyle w:val="2"/>
        <w:ind w:firstLine="64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3、系统具有对药品和耗材相关统计行为的分析功能。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4、本次系统升级完成后，需要把医院原有防统方系统上的日志、数据、规则、策略等数据无缝迁移到新系统上，保证历史数据的有效存储。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二、硬件配置要求如下：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2U 机架式一体化设备；CPU配置：XEON 4核心 3.2GHz；内存：32G RAM；存储容量4TB ；镜像口：2个千兆电口和2个万兆光口。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三、数据库保护授权数量：10个。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四、服务要求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1、现场升级安装实施。实施完成培训相关管理人员进行操作。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2、需根据医院管理需要实时协助医院完成防统方系统规则的调整，保证防统方系统的可用性。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3、每季度现场或者远程巡检，并提供巡检报告。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4、免费质保期：:三年。免费质保期能负责对设备的硬件、软件功能等相关的设备及功能进行全方位的维护，设备配件损坏后需免费提供相关的配件及现场维修、维护。</w:t>
      </w:r>
    </w:p>
    <w:p>
      <w:pPr>
        <w:pStyle w:val="2"/>
        <w:ind w:firstLine="64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5、维保要求：维保期内，潜在供应商接到医院设备硬件故障通知后应在4小时内指派人员及时进行检测维修，如维修不涉及零配件更换，应在12小时内修复完毕；如涉及到零配件更换，应在24小时内修复完毕或立即免费提供同等性能的替用设备。若潜在供应商未在规定期限内修复设备而给甲方造成经济损失，由潜在供应商全额承担。维保期内，潜在供应商接到医院系统功能调整通知后，应在1小时内相应，2小时内远程协助完成系统功能调整。</w:t>
      </w:r>
    </w:p>
    <w:p>
      <w:pPr>
        <w:pStyle w:val="2"/>
        <w:ind w:firstLine="640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6、潜在供应商在报价时，需提供免费质保期结束后的系统及设备硬件的质保费用报价。</w:t>
      </w:r>
    </w:p>
    <w:p>
      <w:pPr>
        <w:pStyle w:val="2"/>
        <w:ind w:firstLine="0" w:firstLineChars="0"/>
        <w:rPr>
          <w:rFonts w:ascii="微软雅黑" w:hAnsi="微软雅黑" w:eastAsia="微软雅黑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BD"/>
    <w:rsid w:val="00012BDC"/>
    <w:rsid w:val="00050CB3"/>
    <w:rsid w:val="000C1D8E"/>
    <w:rsid w:val="00153928"/>
    <w:rsid w:val="00202859"/>
    <w:rsid w:val="00230F28"/>
    <w:rsid w:val="002365E9"/>
    <w:rsid w:val="003B7100"/>
    <w:rsid w:val="004A1030"/>
    <w:rsid w:val="0058470A"/>
    <w:rsid w:val="0072382C"/>
    <w:rsid w:val="00920C32"/>
    <w:rsid w:val="0095593D"/>
    <w:rsid w:val="00B75BFF"/>
    <w:rsid w:val="00BF0527"/>
    <w:rsid w:val="00D86DBD"/>
    <w:rsid w:val="00DD467D"/>
    <w:rsid w:val="00E500B2"/>
    <w:rsid w:val="00E618A8"/>
    <w:rsid w:val="00EC58EE"/>
    <w:rsid w:val="00F153E7"/>
    <w:rsid w:val="00F46298"/>
    <w:rsid w:val="231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spacing w:line="360" w:lineRule="auto"/>
      <w:ind w:firstLine="420" w:firstLineChars="200"/>
    </w:pPr>
    <w:rPr>
      <w:bCs/>
      <w:sz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缩进 Char1"/>
    <w:link w:val="2"/>
    <w:uiPriority w:val="0"/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</Words>
  <Characters>1250</Characters>
  <Lines>10</Lines>
  <Paragraphs>2</Paragraphs>
  <TotalTime>120</TotalTime>
  <ScaleCrop>false</ScaleCrop>
  <LinksUpToDate>false</LinksUpToDate>
  <CharactersWithSpaces>1467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2024-02-23T07:17:00Z</dcterms:created>
  <dc:creator>惠华 陆</dc:creator>
  <cp:lastModifiedBy>violet</cp:lastModifiedBy>
  <dcterms:modified xsi:type="dcterms:W3CDTF">2024-03-27T10:40:43Z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8874F7CAAC3B4BE4A1AE93B427B9D2B6</vt:lpwstr>
  </property>
</Properties>
</file>