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051"/>
        <w:tblOverlap w:val="never"/>
        <w:tblW w:w="8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187"/>
        <w:gridCol w:w="1289"/>
        <w:gridCol w:w="1551"/>
        <w:gridCol w:w="1035"/>
        <w:gridCol w:w="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监测类型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监测范围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监测周期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外照射个人剂量计监测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至少包含铅衣内、铅衣外、腕式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射线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每季度一次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枚/年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（1）预计数量每年490枚；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报价应包含提供OSL光致发光剂量计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的费用；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报价应包含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剂量计往返邮寄费用（医院快递至公司及公司快递至医院的往返）。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资质要求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取得《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放射卫生技术服务机构资质》甲级，并且技术服务范围包含外照射个人剂量计监测（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X、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</w:rPr>
        <w:t>β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</w:rPr>
        <w:t>γ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射线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剂量计要求：</w:t>
      </w:r>
    </w:p>
    <w:p>
      <w:pPr>
        <w:pStyle w:val="6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①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个人剂量检测单位的报价应包含提供OSL光致发光剂量计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的费用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，剂量计能检测X、γ、β射线。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②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个人剂量检测单位须在检测周期开始前一周寄出有明确标识（剂量计上标注佩戴者姓名和佩戴周期）的个人剂量计。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③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配备的剂量计具有重复测读功能，发生剂量异常情况时数据能做到有效溯源。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检测报告的要求：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①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个人剂量检测单位须在检测周期结束且收到返回的剂量计10个工作日内出具检测报告。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②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32"/>
          <w:lang w:val="en-US" w:eastAsia="zh-CN" w:bidi="ar-SA"/>
        </w:rPr>
        <w:t>个人剂量检测报告能分别给出HP（10）、HP（3）和HP（0.07）的值。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5.付款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32"/>
          <w:lang w:val="en-US" w:eastAsia="zh-CN"/>
        </w:rPr>
        <w:t>一年一结，以自然年为单位，当年监测完成后，一次性结算当年监测费用。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FF826"/>
    <w:multiLevelType w:val="singleLevel"/>
    <w:tmpl w:val="1C6FF8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EwZWVmZDQxZDVjMDllOWRhM2ZkZDZmYTMxZGIifQ=="/>
  </w:docVars>
  <w:rsids>
    <w:rsidRoot w:val="00000000"/>
    <w:rsid w:val="0BDC7D80"/>
    <w:rsid w:val="11133EEC"/>
    <w:rsid w:val="16F2632B"/>
    <w:rsid w:val="20D43B5D"/>
    <w:rsid w:val="220627BA"/>
    <w:rsid w:val="30F91D15"/>
    <w:rsid w:val="311875DE"/>
    <w:rsid w:val="3AB77A0D"/>
    <w:rsid w:val="40414A46"/>
    <w:rsid w:val="57915445"/>
    <w:rsid w:val="5D0000E1"/>
    <w:rsid w:val="6BDF2591"/>
    <w:rsid w:val="6FE06B58"/>
    <w:rsid w:val="7D070C31"/>
    <w:rsid w:val="7D85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0</Lines>
  <Paragraphs>0</Paragraphs>
  <TotalTime>2</TotalTime>
  <ScaleCrop>false</ScaleCrop>
  <LinksUpToDate>false</LinksUpToDate>
  <CharactersWithSpaces>162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2024-07-04T01:52:00Z</dcterms:created>
  <dc:creator>zbb</dc:creator>
  <cp:lastModifiedBy>violet</cp:lastModifiedBy>
  <dcterms:modified xsi:type="dcterms:W3CDTF">2024-07-05T01:52:51Z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E0DD7A1D4070422D8E36DE11CE60327E</vt:lpwstr>
  </property>
</Properties>
</file>