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0</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numPr>
                <w:ilvl w:val="0"/>
                <w:numId w:val="3"/>
              </w:numPr>
              <w:rPr>
                <w:rFonts w:hint="eastAsia"/>
                <w:sz w:val="20"/>
                <w:szCs w:val="20"/>
                <w:lang w:val="en-US" w:eastAsia="zh-CN"/>
              </w:rPr>
            </w:pPr>
            <w:r>
              <w:rPr>
                <w:rFonts w:hint="eastAsia"/>
                <w:sz w:val="20"/>
                <w:szCs w:val="20"/>
                <w:lang w:val="en-US" w:eastAsia="zh-CN"/>
              </w:rPr>
              <w:t>如果该项目涉及货物类产品，需对产品提供如下相关资质：</w:t>
            </w:r>
          </w:p>
          <w:p>
            <w:pPr>
              <w:numPr>
                <w:ilvl w:val="0"/>
                <w:numId w:val="4"/>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4"/>
              </w:numPr>
              <w:rPr>
                <w:rFonts w:hint="eastAsia"/>
                <w:sz w:val="20"/>
                <w:szCs w:val="20"/>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p>
            <w:pPr>
              <w:numPr>
                <w:ilvl w:val="0"/>
                <w:numId w:val="3"/>
              </w:numPr>
              <w:rPr>
                <w:rFonts w:hint="default"/>
                <w:lang w:val="en-US" w:eastAsia="zh-CN"/>
              </w:rPr>
            </w:pPr>
            <w:r>
              <w:rPr>
                <w:rFonts w:hint="eastAsia"/>
                <w:sz w:val="20"/>
                <w:szCs w:val="20"/>
                <w:lang w:val="en-US" w:eastAsia="zh-CN"/>
              </w:rPr>
              <w:t>提供服务方案/施工方案等相关资料。</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Theme="majorEastAsia" w:hAnsiTheme="majorEastAsia" w:eastAsiaTheme="majorEastAsia" w:cstheme="majorEastAsia"/>
          <w:sz w:val="24"/>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pStyle w:val="2"/>
        <w:rPr>
          <w:rFonts w:hint="eastAsia"/>
          <w:lang w:eastAsia="zh-CN"/>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如果该项目涉及货物类产品，需对产品提供如下相关资质：</w:t>
      </w:r>
    </w:p>
    <w:p>
      <w:pPr>
        <w:pStyle w:val="105"/>
        <w:numPr>
          <w:ilvl w:val="0"/>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p>
    <w:p>
      <w:pPr>
        <w:pStyle w:val="105"/>
        <w:numPr>
          <w:ilvl w:val="0"/>
          <w:numId w:val="9"/>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bookmarkStart w:id="1" w:name="_GoBack"/>
      <w:bookmarkEnd w:id="1"/>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提供服务方案/施工方案等相关资料。</w:t>
      </w:r>
    </w:p>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E95E4E6B"/>
    <w:multiLevelType w:val="singleLevel"/>
    <w:tmpl w:val="E95E4E6B"/>
    <w:lvl w:ilvl="0" w:tentative="0">
      <w:start w:val="1"/>
      <w:numFmt w:val="decimal"/>
      <w:lvlText w:val="%1."/>
      <w:lvlJc w:val="left"/>
      <w:pPr>
        <w:tabs>
          <w:tab w:val="left" w:pos="312"/>
        </w:tabs>
      </w:pPr>
      <w:rPr>
        <w:rFonts w:hint="default"/>
        <w:b w:val="0"/>
        <w:bCs w:val="0"/>
        <w:sz w:val="20"/>
        <w:szCs w:val="20"/>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4674AD3E"/>
    <w:multiLevelType w:val="singleLevel"/>
    <w:tmpl w:val="4674AD3E"/>
    <w:lvl w:ilvl="0" w:tentative="0">
      <w:start w:val="1"/>
      <w:numFmt w:val="decimal"/>
      <w:lvlText w:val="(%1)"/>
      <w:lvlJc w:val="left"/>
      <w:pPr>
        <w:ind w:left="425" w:hanging="425"/>
      </w:pPr>
      <w:rPr>
        <w:rFonts w:hint="default"/>
      </w:rPr>
    </w:lvl>
  </w:abstractNum>
  <w:abstractNum w:abstractNumId="7">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9">
    <w:nsid w:val="6F303AF0"/>
    <w:multiLevelType w:val="singleLevel"/>
    <w:tmpl w:val="6F303AF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D407749"/>
    <w:rsid w:val="0E1170DF"/>
    <w:rsid w:val="0ED920D4"/>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C5C0519"/>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2024-09-13T07:14:54Z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