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楼宇自动化控制系统改造需求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我院的门急诊医技大楼和住院大楼采用两套楼宇自动化控制系统。其中门急诊医技大楼为同方泰德(Techcon），于2019年建成并投入使用，住院大楼为艾科瓦(台湾，ECOA),于2012年投入使用。</w:t>
      </w:r>
      <w:r>
        <w:rPr>
          <w:rFonts w:hint="eastAsia" w:ascii="宋体" w:hAnsi="宋体" w:eastAsia="宋体" w:cs="宋体"/>
          <w:sz w:val="24"/>
          <w:szCs w:val="24"/>
          <w:lang w:val="en-US" w:eastAsia="zh-CN"/>
        </w:rPr>
        <w:t>现在，</w:t>
      </w:r>
      <w:r>
        <w:rPr>
          <w:rFonts w:hint="eastAsia" w:ascii="宋体" w:hAnsi="宋体" w:eastAsia="宋体" w:cs="宋体"/>
          <w:sz w:val="24"/>
          <w:szCs w:val="24"/>
        </w:rPr>
        <w:t>需要对住院大楼楼宇自控系统和门急诊医技大楼楼宇自控系统合并整改，采用门急诊医技大楼系统平台软件组网合并。同时，住院部中央空调机房机电设备未接入楼控系统进行集中控制，本次改造需要解决住院部中央空调集中控制，屋顶冷却塔自动变频运行等问题。</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bCs/>
          <w:sz w:val="24"/>
          <w:szCs w:val="24"/>
        </w:rPr>
      </w:pPr>
      <w:bookmarkStart w:id="0" w:name="_Toc389749795"/>
      <w:r>
        <w:rPr>
          <w:rFonts w:hint="eastAsia" w:ascii="宋体" w:hAnsi="宋体" w:eastAsia="宋体" w:cs="宋体"/>
          <w:bCs/>
          <w:sz w:val="24"/>
          <w:szCs w:val="24"/>
        </w:rPr>
        <w:t>一、目前住院大楼</w:t>
      </w:r>
      <w:r>
        <w:rPr>
          <w:rFonts w:hint="eastAsia" w:ascii="宋体" w:hAnsi="宋体" w:eastAsia="宋体" w:cs="宋体"/>
          <w:sz w:val="24"/>
          <w:szCs w:val="24"/>
        </w:rPr>
        <w:t>楼宇自控系统</w:t>
      </w:r>
      <w:r>
        <w:rPr>
          <w:rFonts w:hint="eastAsia" w:ascii="宋体" w:hAnsi="宋体" w:eastAsia="宋体" w:cs="宋体"/>
          <w:bCs/>
          <w:sz w:val="24"/>
          <w:szCs w:val="24"/>
        </w:rPr>
        <w:t>监控范围</w:t>
      </w:r>
      <w:bookmarkEnd w:id="0"/>
      <w:bookmarkStart w:id="3" w:name="_GoBack"/>
      <w:bookmarkEnd w:id="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住院大楼楼宇自控系统主要的监控范围包含有：冷冻站群控系统、集水坑系统、组合式空调系统、新风系统、空调风机盘管系统、送排风系统、公区照明系统、电梯监测系统、氧气监测系统。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bookmarkStart w:id="1" w:name="_Toc389749796"/>
      <w:r>
        <w:rPr>
          <w:rFonts w:hint="eastAsia" w:ascii="宋体" w:hAnsi="宋体" w:eastAsia="宋体" w:cs="宋体"/>
          <w:sz w:val="24"/>
          <w:szCs w:val="24"/>
        </w:rPr>
        <w:t>二、住院楼楼宇自控系统监控内容及控制策略</w:t>
      </w:r>
      <w:bookmarkEnd w:id="1"/>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（一）冷冻站群控系统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冷冻站群控系统设备安装位置分别在负一楼冷冻机房和楼顶冷却塔，机电设备由冷水机组3台、冷冻水循环泵4台、冷却水循环泵4台、冷却塔3台、补水箱及分、集水器组成；控制系统的现场元件由供回水温度传感器4个，供回水压力传感器4个，水道流量12个，水流开关8个，补水箱液位计2个，冷水机组冷冻水电动蝶阀3台，冷却水电动蝶阀3台，冷却塔冷却水进口电动蝶阀6台和压差旁通阀1个组成；楼宇自控系统主要设备DDC控制器11台，集中控制操作面板2个，以太网关2个组成。（注：目前冷冻站正在进行管路和机电设备升级改造）已完成。</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bookmarkStart w:id="2" w:name="_Hlk175582630"/>
      <w:r>
        <w:rPr>
          <w:rFonts w:hint="eastAsia" w:ascii="宋体" w:hAnsi="宋体" w:eastAsia="宋体" w:cs="宋体"/>
          <w:sz w:val="24"/>
          <w:szCs w:val="24"/>
        </w:rPr>
        <w:t>（1）冷水机组的监测</w:t>
      </w:r>
      <w:bookmarkEnd w:id="2"/>
      <w:r>
        <w:rPr>
          <w:rFonts w:hint="eastAsia" w:ascii="宋体" w:hAnsi="宋体" w:eastAsia="宋体" w:cs="宋体"/>
          <w:sz w:val="24"/>
          <w:szCs w:val="24"/>
        </w:rPr>
        <w:t xml:space="preserve">：监视冷水机组内部所有参数。基本点位采用由冷水机组提供监测的干接点，控制系统对此进行监测和控制的方案，每台冷水机组上取冷水机组状态反馈、故障状态反馈和启停控制。 </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冷冻水循环泵、冷却水循环泵、冷却塔风机监测与控制点为：运行状态反馈、故障状态反馈、手/自动状态反馈和水泵启停控制，循环泵与风机可根据现场情况进行启停控制，以上设备必须在保证水流正常流动的前提下启动，在蝶阀开启的反馈信息未确认的情况下不允许启动。</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（3）实时监测供回水温度，供回水压力，供水流量，水泵水流状态，以了解冷却水的工作温度是否在合理的范围之内。</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（4）监测补水箱的高液位、低液位和溢流液位，在水箱液位高于溢流液位和低于低液位时，报警启动。</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（5）接于冷却塔进水管的电动阀一般采用电动蝶阀，用于当冷却塔停止运行时切断水路，以防水流短路，同时可以适当调整进入各冷却塔的水量，使其分配均匀，以保证各冷却塔都能达到最大出力。</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（6）冷水机组冷冻侧与冷却侧的阀门均采用电动蝶阀，用于当该台冷水机组停止运行时切断水路，以防水流短路。</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7）群控功能：根据冷冻水供回水温度与流量，计算出空调系统的实际负荷，将计算结果与当时冷水机组投运台数下的总供冷量作比较，若理论总供冷量与空调系统的实际负荷大于一台冷水机组的供冷量时，则发出停止一台冷水机组的运行的提示，管理人员确认后停止该机组运行。冷水机组停止运行后，则相应的冷却塔、冷冻水泵和冷却水泵停止运行。</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（8）冷冻站群控系统冷冻机房和冷却塔现场有现场各一个操作面板，与系统平台软件同时可以操作。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）集水坑系统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1、集水坑系统设备安装位置在负一楼，机电设备由共22组集水坑排水泵组成；控制系统的现场元件由共66个液位开关；楼宇自控系统主要设备由DDC控制器3台组成。</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（1）监测所有集水坑的高、中、低液位；</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（2）监测排污泵的运行状态、故障状态及手/自动状态；</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（3）集水坑内设三个液位，分别是溢流液位、高液位、低液位，当液位高于溢流液位液位时，则系统报警。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）组合式空调系统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本系统空调机组由初效过滤器、表冷器/加热盘管、送风机。控制系统的现场元件由送风温度传感器、送风湿度传感器、防冻开关、压差开关、风阀执行器、电动调节阀组成。楼宇自控系统主要设备由ECD0606150模块1个，EDH2025002操作面板1个组成。住院大楼共1台组合式空调机组。</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（1）监测送风温湿度； 监测过滤器压差状态；监测防冻开关报警；监控送风机启停控制及运行、故障、手/自动状态；调节冷热水盘管水阀的开度。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（2）当过滤器阻塞时，压差开关给出过滤器堵塞报警信号。</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（3）当冬季盘管温度过低时，低温防冻开关给出信号，风机停止运行，水阀执行器开至最大，防止盘管冻裂。当防冻开关恢复正常时，应重新启动风机，恢复机组工作。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（4）空调机组温度控制为根据回风实测温度与回风设定温度的偏差，按PID算法调节水路电动调节阀的开度，使实测温度达到设定温度值；</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（5）送风机的监测与控制为：监测送风机的运行状态、故障状态和手/自动状态，控制风机的启停。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（6）每台空调现场设有一个操作面板，与系统平台软件同时可以操作。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）新风系统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新风机由新风阀、初效过滤器、表冷器/加热盘管、送风机等组成。楼宇自控系统的现场元件由送风温度传感器、防冻开关、压差开关、风阀执行器、电动调节阀组成。楼宇自控系统主要设备DDC控制器1台，集中控制操作面板1个组成。住院大楼共27台新风空调机组。</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（1）监测送风温度； 监测过滤器压差状态；监测防冻开关报警；监控送风机启停控制及运行、故障、手/自动状态；控制新风阀开闭；调节冷热水盘管水阀的开度。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（2）电动风阀与送风机联锁，当送风机启动时，电动风阀开启，送风机关闭时，电动风阀关闭。</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（3）当过滤器阻塞时，压差开关给出过滤器堵塞报警信号。</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（4）当冬季盘管温度过低时，低温防冻开关给出信号，风机停止运行，新风阀关闭，防止盘管冻裂。当防冻开关恢复正常时，应重新启动风机，打开新风阀，恢复机组工作。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（5）新风机组温度控制为根据送风实测温度与送风设定温度的偏差，按PID算法调节水路电动调节阀的开度，使实测温度达到设定温度值；</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（6）送风机的监测与控制为：监测送风机的运行状态、故障状态和手/自动状态，控制风机的启停；通常送风机在新风阀开启30秒后才能延迟开启。</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（7）每台空调现场设有一个操作面板，与系统平台软件同时可以操作。</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）空调风机盘管系统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本系统新风机由盘管风机、表冷器/加热盘管。楼宇自控系统的现场元件由外接温度传感器、电磁阀组成；楼宇自控系统主要设备温控器，区域操作面板组成。住院大楼共1312台温控器；共52个区域操作面板，其中有16路区域操作面板22个，有32路区域操作面板30个。每层楼温控按照科室进行分区，每个分区由分为病房区域和医护办公区、公共区域的操作面板控制，操作面板统一安装在科室护士站。</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（1）监测环境温度；监控盘管风机启停控制及运行状态；控制冷热水盘管电磁水阀的开关；监测温控器通讯信号及通讯故障报警。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（1）每个操作面板可单台和一键控制风机盘管，按照操作面板为单位进行一键控制，温控器操作有开关控制、冷热模式、风速模式、温度设定、定时开关。</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）送排风系统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1、对住院楼内的送风机、排风机、两用风机进行自动控制；楼宇自控系统主要设备由DDC控制器，组态网关，操作面板组成。两用排烟风机共3台，送、排风机共9台；控制模块共8个，操作面板共2个，组态网关2个。</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2、系统功能如下：监控送、排风机、两用风机低速启停控制及运行、故障、手/自动状态。</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）公区照明系统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1、对住院楼内个楼层的公区照明进行自动控制；楼宇自控系统主要设备智能照明控制器共75个。每层楼分为A、B、C、电梯大厅、应急通道共5个区域，每个区域使用一个5路的控制器。</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（1）监测公共照明回路运行状态、控制公共照明开关；</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（2）每条照明回路都可以单独开关、一键总开关、单独时控开关；一键总开关以区域为一键总开关。</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）电梯检测系统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1、对住院楼的客梯、货梯的运行状态进行监控；楼宇自控系统主要设备有通讯网关共1个组成。</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2、系统功能如下：监测电梯运行状态、上行状态、下行状态和故障状态。</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）氧气监测系统</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1、对住院楼的吸氧机的供氧压力及流量进行监控；控制系统的现场元件由共25个氧气流量传感器、25个氧气压力传感器；楼宇自控系统主要设备有DDC控制器共5个，集中控制操作面板共1个。</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2、系统功能如下：</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（1）监测吸氧机的供氧压力及流量的实时状态和超过设定的警戒值则报警；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（2）同时检测数据刷新异常和延迟不高于10秒，异常和超时自动报警。</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三、改造要求</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（一）具体改造内容</w:t>
      </w:r>
    </w:p>
    <w:p>
      <w:pPr>
        <w:pStyle w:val="11"/>
        <w:keepNext w:val="0"/>
        <w:keepLines w:val="0"/>
        <w:pageBreakBefore w:val="0"/>
        <w:widowControl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rPr>
      </w:pPr>
      <w:r>
        <w:rPr>
          <w:rFonts w:hint="eastAsia" w:ascii="宋体" w:hAnsi="宋体" w:eastAsia="宋体" w:cs="宋体"/>
          <w:sz w:val="24"/>
          <w:szCs w:val="24"/>
        </w:rPr>
        <w:t>1、本次要求全面改造冷冻站群控系统、集水坑系统、电梯检测系统、氧气监测系统</w:t>
      </w:r>
      <w:r>
        <w:rPr>
          <w:rFonts w:hint="eastAsia" w:ascii="宋体" w:hAnsi="宋体" w:eastAsia="宋体" w:cs="宋体"/>
          <w:sz w:val="24"/>
          <w:szCs w:val="24"/>
          <w:lang w:eastAsia="zh-CN"/>
        </w:rPr>
        <w:t>、空调系统、照明系统、新风系统等</w:t>
      </w:r>
      <w:r>
        <w:rPr>
          <w:rFonts w:hint="eastAsia" w:ascii="宋体" w:hAnsi="宋体" w:eastAsia="宋体" w:cs="宋体"/>
          <w:sz w:val="24"/>
          <w:szCs w:val="24"/>
        </w:rPr>
        <w:t>，以及相关部分的楼宇自控系统的接入、控制。要求对所有相关部分的DDC控制器进行更换、以太网关进行更换，其中所有设备之间的连接线路部分应进行更换。设备更换后可同构或者异构接入医院门诊楼楼宇自控系统。更换后，所有的系统控制功能必须满足医院原有的功能。今年医院已对住院部负一楼中央空调机房冷却、冷冻水泵进行了更换，加上其他楼控系统设备原因，目前整个中央空调机房的控制、管理全部未实现，本次改造需要把中央空调机房全部接入楼控系统系统进行管理，实现中央空调机房内冷冻水泵、冷却水泵、电动蝶阀、冷水主机、供回水工况的远程数据查看、数据返回、远程控制、集群联动等功能。</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要求对住院楼15楼、负一楼、顶楼所有的新风系统、空调风机盘管系统、送排风系统、公区照明系统相关部分的楼宇自控系统相关部分进行全面改造，要求对所有相关部分的DDC控制器进行更换、以太网关进行更换，其中所有设备之间的连接线路部分应进行更换。设备更换后可同构或者异构接入医院门诊楼楼宇自控系统。更换后，所有的系统控制功能必须满足医院原有的功能。</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设备更换完成后需对医院门诊楼楼宇自控系统的平台软件操作界面进行优化，需对组态画面、软件开放应用组件、人机交互页面组件库等部分进行优化。优化内容主要包括提升系统的稳定性、可视化效果，扩充系统接入设备授权等。</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住院部屋顶冷却塔变频风机的未实现高效、变频、自动运行，本次改造需要增加自动控制模块，增加冷却水水温检测设备，利用楼控系统的群控功能，实现冷却塔变频风机的高效、变频、自动运行。</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本次要求改造的楼宇自控系统DDC设备预计清单如下：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11"/>
        <w:ind w:left="640" w:firstLine="0" w:firstLineChars="0"/>
        <w:jc w:val="left"/>
        <w:rPr>
          <w:rFonts w:hint="eastAsia" w:ascii="宋体" w:hAnsi="宋体" w:eastAsia="宋体"/>
          <w:sz w:val="2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092"/>
        <w:gridCol w:w="7507"/>
        <w:gridCol w:w="877"/>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60" w:type="dxa"/>
            <w:gridSpan w:val="5"/>
            <w:noWrap/>
            <w:vAlign w:val="center"/>
          </w:tcPr>
          <w:p>
            <w:pPr>
              <w:jc w:val="center"/>
              <w:rPr>
                <w:rFonts w:hint="eastAsia" w:ascii="宋体" w:hAnsi="宋体" w:eastAsia="宋体"/>
                <w:b/>
                <w:bCs/>
                <w:sz w:val="18"/>
                <w:szCs w:val="18"/>
              </w:rPr>
            </w:pPr>
            <w:r>
              <w:rPr>
                <w:rFonts w:hint="eastAsia" w:ascii="宋体" w:hAnsi="宋体" w:eastAsia="宋体"/>
                <w:b/>
                <w:bCs/>
                <w:sz w:val="18"/>
                <w:szCs w:val="18"/>
              </w:rPr>
              <w:t>住院楼15楼楼宇自控系统改造设备清单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b/>
                <w:bCs/>
                <w:sz w:val="18"/>
                <w:szCs w:val="18"/>
              </w:rPr>
            </w:pPr>
            <w:r>
              <w:rPr>
                <w:rFonts w:hint="eastAsia" w:ascii="宋体" w:hAnsi="宋体" w:eastAsia="宋体"/>
                <w:b/>
                <w:bCs/>
                <w:sz w:val="18"/>
                <w:szCs w:val="18"/>
              </w:rPr>
              <w:t>序号</w:t>
            </w:r>
          </w:p>
        </w:tc>
        <w:tc>
          <w:tcPr>
            <w:tcW w:w="3092"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名称</w:t>
            </w:r>
          </w:p>
        </w:tc>
        <w:tc>
          <w:tcPr>
            <w:tcW w:w="7507"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参数</w:t>
            </w:r>
          </w:p>
        </w:tc>
        <w:tc>
          <w:tcPr>
            <w:tcW w:w="877"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数量</w:t>
            </w:r>
          </w:p>
        </w:tc>
        <w:tc>
          <w:tcPr>
            <w:tcW w:w="631"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风机盘管控制器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两管制，带背光，温度设定值达到后关阀，不关风机，控制两线电动阀和三速风机，通讯RS485-Modbus协议或BACnet协议，连接外置传感器。</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96</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外置传感器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输出：NTC10K，IP65,15mm探针</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96</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3</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盘管区域操作面板</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支持现场数据采集，编辑成组态画面，分辨率不得低于1280*800，最终在触摸屏上显示，实现数据实时监控；支持多种协议采集并转为BACnet服务、Modbus服务、IEC61850服务、OPC UA服务、MQTT服务；支持内部变量功能，支持查看设备离在线状态；支持设定多个用户协助管理设备，多重保障；支持局域网，实现对触摸屏的远程监控；支持多种形式的定时、事件触发，为方便扩展应用而提供的自定义函数功能；</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照明模块</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不低于5回路超大功率电力磁保持继电器,抗浪涌电流达500A/2ms，额定电流50A，大幅降额使用20A，稳定可靠；机械式应急旁路开关，故障情况下也可以手动开关灯，无后顾之忧；信息自恢复功能，可直接更换设备而无需重新调试，方便维护；导轨安装。</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DDC控制器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点位不低于AI*8，AO*4，DI*12，DO*4，RS485*3，以太网口*1，USB口*1；输入端支持Modbus RTU、BACnet MS/TP、TCP/IP协议，转发端BACnet/IP、ModBus TCP等协议。</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6</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新风机操作面板</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LCD 温度显示智能操作面板可独立依据之前所设定的程序单独控制,可自行改变内设值搭配 ECF 型温度数字控制器达到所需的目的,若要与其它 EDF 型控制器进行沟通则需经由Modbus局域网络以RS485串行方式完成联机功能, 提供RS485传输接口与楼宇监控系统联机。</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7</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风道温度传感器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风管道温度传感器，NTC10K输出，-20~80℃，±0.3℃@25℃，管长180mm</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风阀执行器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直流可逆式电机；过载保护： 避免因过载损坏执行器；安装简便： 采用万能夹可适配圆轴和方轴；控制精度： ±1%；支持单线控制或双线控制；可选配位置反馈开关；防护等级：IP54；工作噪音：不大于45dB；</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9</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水阀执行器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二通比例调节型 电压：24VDC/VAC，输入/反馈信号：0(2)~10V   0(4)~20mA</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10</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压差传感器</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气体压差开关，50-500Pa，单刀双掷，±15%</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11</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防冻开关</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低温断路器，1.0~7.5℃，感温件长度：3米，单刀双掷，回差4～6℃</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12</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DDC控制箱</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定制设备箱、变压器、熔断器、接线端子。</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13</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照明控制箱</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定制设备箱、变压器、熔断器、接线端子。</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14</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定制操作面板箱</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定制设备箱，接线端子，安装美观</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15</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定制蝶阀控制箱</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定制设备箱、变压器、熔断器、接线端子。</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16</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组态网关</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2路RS485 （2000点），输入端支持Modbus RTU、DTL645、CJ188协议、BACnet MS/TP、TCP/IP等多种协议，转发端MQTT、OPC、BACnet/IP、ModBus TCP等协议</w:t>
            </w:r>
          </w:p>
        </w:tc>
        <w:tc>
          <w:tcPr>
            <w:tcW w:w="877"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17</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线缆</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RVVP4*1.0</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2000</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18</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线缆</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RVVP2*1.0</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2000</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19</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通讯线</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RVSP2*1.0</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4500</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20</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电源线</w:t>
            </w:r>
          </w:p>
        </w:tc>
        <w:tc>
          <w:tcPr>
            <w:tcW w:w="7507" w:type="dxa"/>
            <w:vAlign w:val="center"/>
          </w:tcPr>
          <w:p>
            <w:pPr>
              <w:jc w:val="center"/>
              <w:rPr>
                <w:rFonts w:hint="eastAsia" w:ascii="宋体" w:hAnsi="宋体" w:eastAsia="宋体"/>
                <w:sz w:val="18"/>
                <w:szCs w:val="18"/>
              </w:rPr>
            </w:pPr>
            <w:r>
              <w:rPr>
                <w:rFonts w:hint="eastAsia" w:ascii="宋体" w:hAnsi="宋体" w:eastAsia="宋体"/>
                <w:sz w:val="18"/>
                <w:szCs w:val="18"/>
              </w:rPr>
              <w:t>BV3*1.5</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1000</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3" w:type="dxa"/>
            <w:noWrap/>
            <w:vAlign w:val="center"/>
          </w:tcPr>
          <w:p>
            <w:pPr>
              <w:jc w:val="center"/>
              <w:rPr>
                <w:rFonts w:hint="eastAsia" w:ascii="宋体" w:hAnsi="宋体" w:eastAsia="宋体"/>
                <w:sz w:val="18"/>
                <w:szCs w:val="18"/>
              </w:rPr>
            </w:pPr>
            <w:r>
              <w:rPr>
                <w:rFonts w:hint="eastAsia" w:ascii="宋体" w:hAnsi="宋体" w:eastAsia="宋体"/>
                <w:sz w:val="18"/>
                <w:szCs w:val="18"/>
              </w:rPr>
              <w:t>21</w:t>
            </w:r>
          </w:p>
        </w:tc>
        <w:tc>
          <w:tcPr>
            <w:tcW w:w="3092" w:type="dxa"/>
            <w:noWrap/>
            <w:vAlign w:val="center"/>
          </w:tcPr>
          <w:p>
            <w:pPr>
              <w:jc w:val="center"/>
              <w:rPr>
                <w:rFonts w:hint="eastAsia" w:ascii="宋体" w:hAnsi="宋体" w:eastAsia="宋体"/>
                <w:sz w:val="18"/>
                <w:szCs w:val="18"/>
              </w:rPr>
            </w:pPr>
            <w:r>
              <w:rPr>
                <w:rFonts w:hint="eastAsia" w:ascii="宋体" w:hAnsi="宋体" w:eastAsia="宋体"/>
                <w:sz w:val="18"/>
                <w:szCs w:val="18"/>
              </w:rPr>
              <w:t>网线</w:t>
            </w:r>
          </w:p>
        </w:tc>
        <w:tc>
          <w:tcPr>
            <w:tcW w:w="7507" w:type="dxa"/>
            <w:vAlign w:val="center"/>
          </w:tcPr>
          <w:p>
            <w:pPr>
              <w:pStyle w:val="11"/>
              <w:ind w:left="640" w:firstLine="360"/>
              <w:jc w:val="center"/>
              <w:rPr>
                <w:rFonts w:hint="eastAsia" w:ascii="宋体" w:hAnsi="宋体" w:eastAsia="宋体"/>
                <w:sz w:val="18"/>
                <w:szCs w:val="18"/>
              </w:rPr>
            </w:pPr>
            <w:r>
              <w:rPr>
                <w:rFonts w:hint="eastAsia" w:ascii="宋体" w:hAnsi="宋体" w:eastAsia="宋体"/>
                <w:sz w:val="18"/>
                <w:szCs w:val="18"/>
              </w:rPr>
              <w:t>六类网线</w:t>
            </w:r>
          </w:p>
        </w:tc>
        <w:tc>
          <w:tcPr>
            <w:tcW w:w="877" w:type="dxa"/>
            <w:noWrap/>
            <w:vAlign w:val="center"/>
          </w:tcPr>
          <w:p>
            <w:pPr>
              <w:jc w:val="center"/>
              <w:rPr>
                <w:rFonts w:hint="eastAsia" w:ascii="宋体" w:hAnsi="宋体" w:eastAsia="宋体"/>
                <w:sz w:val="18"/>
                <w:szCs w:val="18"/>
              </w:rPr>
            </w:pPr>
            <w:r>
              <w:rPr>
                <w:rFonts w:hint="eastAsia" w:ascii="宋体" w:hAnsi="宋体" w:eastAsia="宋体"/>
                <w:sz w:val="18"/>
                <w:szCs w:val="18"/>
              </w:rPr>
              <w:t>2000</w:t>
            </w:r>
          </w:p>
        </w:tc>
        <w:tc>
          <w:tcPr>
            <w:tcW w:w="631"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bl>
    <w:p>
      <w:pPr>
        <w:jc w:val="left"/>
        <w:rPr>
          <w:rFonts w:hint="eastAsia" w:ascii="宋体" w:hAnsi="宋体" w:eastAsia="宋体"/>
          <w:sz w:val="22"/>
        </w:rPr>
      </w:pPr>
    </w:p>
    <w:p>
      <w:pPr>
        <w:jc w:val="left"/>
        <w:rPr>
          <w:rFonts w:hint="eastAsia" w:ascii="宋体" w:hAnsi="宋体" w:eastAsia="宋体"/>
          <w:sz w:val="22"/>
        </w:rPr>
      </w:pPr>
    </w:p>
    <w:p>
      <w:pPr>
        <w:jc w:val="left"/>
        <w:rPr>
          <w:rFonts w:hint="eastAsia" w:ascii="宋体" w:hAnsi="宋体" w:eastAsia="宋体"/>
          <w:sz w:val="22"/>
        </w:rPr>
      </w:pPr>
    </w:p>
    <w:p>
      <w:pPr>
        <w:widowControl/>
        <w:jc w:val="left"/>
        <w:rPr>
          <w:rFonts w:hint="eastAsia" w:ascii="宋体" w:hAnsi="宋体" w:eastAsia="宋体"/>
          <w:sz w:val="22"/>
        </w:rPr>
      </w:pPr>
      <w:r>
        <w:rPr>
          <w:rFonts w:hint="eastAsia" w:ascii="宋体" w:hAnsi="宋体" w:eastAsia="宋体"/>
          <w:sz w:val="22"/>
        </w:rPr>
        <w:br w:type="page"/>
      </w:r>
    </w:p>
    <w:p>
      <w:pPr>
        <w:jc w:val="left"/>
        <w:rPr>
          <w:rFonts w:hint="eastAsia" w:ascii="宋体" w:hAnsi="宋体" w:eastAsia="宋体"/>
          <w:sz w:val="2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3425"/>
        <w:gridCol w:w="7248"/>
        <w:gridCol w:w="846"/>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760" w:type="dxa"/>
            <w:gridSpan w:val="5"/>
            <w:noWrap/>
            <w:vAlign w:val="center"/>
          </w:tcPr>
          <w:p>
            <w:pPr>
              <w:jc w:val="center"/>
              <w:rPr>
                <w:rFonts w:hint="eastAsia" w:ascii="宋体" w:hAnsi="宋体" w:eastAsia="宋体"/>
                <w:b/>
                <w:bCs/>
                <w:sz w:val="18"/>
                <w:szCs w:val="18"/>
              </w:rPr>
            </w:pPr>
            <w:r>
              <w:rPr>
                <w:rFonts w:hint="eastAsia" w:ascii="宋体" w:hAnsi="宋体" w:eastAsia="宋体"/>
                <w:b/>
                <w:bCs/>
                <w:sz w:val="18"/>
                <w:szCs w:val="18"/>
              </w:rPr>
              <w:t>住院楼负一楼、顶楼楼宇自控系统改造设备清单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b/>
                <w:bCs/>
                <w:sz w:val="18"/>
                <w:szCs w:val="18"/>
              </w:rPr>
            </w:pPr>
            <w:r>
              <w:rPr>
                <w:rFonts w:hint="eastAsia" w:ascii="宋体" w:hAnsi="宋体" w:eastAsia="宋体"/>
                <w:b/>
                <w:bCs/>
                <w:sz w:val="18"/>
                <w:szCs w:val="18"/>
              </w:rPr>
              <w:t>序号</w:t>
            </w:r>
          </w:p>
        </w:tc>
        <w:tc>
          <w:tcPr>
            <w:tcW w:w="3425"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名称</w:t>
            </w:r>
          </w:p>
        </w:tc>
        <w:tc>
          <w:tcPr>
            <w:tcW w:w="7248"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参数</w:t>
            </w:r>
          </w:p>
        </w:tc>
        <w:tc>
          <w:tcPr>
            <w:tcW w:w="846"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数量</w:t>
            </w:r>
          </w:p>
        </w:tc>
        <w:tc>
          <w:tcPr>
            <w:tcW w:w="609" w:type="dxa"/>
            <w:vAlign w:val="center"/>
          </w:tcPr>
          <w:p>
            <w:pPr>
              <w:jc w:val="center"/>
              <w:rPr>
                <w:rFonts w:hint="eastAsia" w:ascii="宋体" w:hAnsi="宋体" w:eastAsia="宋体"/>
                <w:b/>
                <w:bCs/>
                <w:sz w:val="18"/>
                <w:szCs w:val="18"/>
              </w:rPr>
            </w:pPr>
            <w:r>
              <w:rPr>
                <w:rFonts w:hint="eastAsia" w:ascii="宋体" w:hAnsi="宋体" w:eastAsia="宋体"/>
                <w:b/>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风机盘管控制器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两管制，带背光，温度设定值达到后关阀，不关风机，控制两线电动阀和三速风机，通讯RS485-Modbus协议或BACnet协议，连接外置传感器。</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25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外置传感器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输出：NTC10K，IP65,15mm探针</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25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3</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盘管区域操作面板</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支持现场数据采集，编辑成组态画面，分辨率不得低于1280*800，最终在触摸屏上显示，实现数据实时监控；支持多种协议采集并转为BACnet服务、Modbus服务、IEC61850服务、OPC UA服务、MQTT服务；支持内部变量功能，支持查看设备离在线状态；支持设定多个用户协助管理设备，多重保障；支持局域网，实现对触摸屏的远程监控；支持多种形式的定时、事件触发，为方便扩展应用而提供的自定义函数功能；</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照明模块</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不低于5回路超大功率电力磁保持继电器,抗浪涌电流达500A/2ms，额定电流50A，大幅降额使用20A，稳定可靠；机械式应急旁路开关，故障情况下也可以手动开关灯，无后顾之忧；信息自恢复功能，可直接更换设备而无需重新调试，方便维护；导轨安装。</w:t>
            </w:r>
          </w:p>
        </w:tc>
        <w:tc>
          <w:tcPr>
            <w:tcW w:w="846"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DDC控制器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点位不低于AI*8，AO*4，DI*12，DO*4，RS485*3，以太网口*1，USB口*1；输入端支持Modbus RTU、BACnet MS/TP、TCP/IP协议，转发端BACnet/IP、ModBus TCP等协议。</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28</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6</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操作面板</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LCD 温度显示智能操作面板可独立依据之前所设定的程序单独控制,可自行改变内设值搭配 ECF 型温度数字控制器达到所需的目的,若要与其它 EDF 型控制器进行沟通则需经由Modbus局域网络以RS485串行方式完成联机功能, 提供RS485传输接口与楼宇监控系统联机。</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3</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32" w:type="dxa"/>
            <w:noWrap/>
            <w:vAlign w:val="center"/>
          </w:tcPr>
          <w:p>
            <w:pPr>
              <w:jc w:val="center"/>
              <w:rPr>
                <w:rFonts w:hint="eastAsia" w:ascii="宋体" w:hAnsi="宋体" w:eastAsia="宋体"/>
                <w:sz w:val="18"/>
                <w:szCs w:val="18"/>
              </w:rPr>
            </w:pP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冷源系统操作面板</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支持现场数据采集，编辑成组态画面，分辨率不得低于1280*800，最终在触摸屏上显示，实现数据实时监控；支持多种协议采集并转为BACnet服务、Modbus服务、IEC61850服务、OPC UA服务、MQTT服务；支持内部变量功能，支持查看设备离在线状态；支持设定多个用户协助管理设备，多重保障；支持局域网，实现对触摸屏的远程监控；支持多种形式的定时、事件触发，为方便扩展应用而提供的自定义函数功能；</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7</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风道温度传感器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风管道温度传感器，NTC10K输出，-20~80℃，±0.3℃@25℃，管长180mm</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风道温湿度传感器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风管道温湿度传感器，-20~80℃ ，0~100%RH，0~10V,，RS485输出，±0.5℃@25℃，±5% RH，管长180mm，AC/DC24V</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9</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风阀执行器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直流可逆式电机；过载保护： 避免因过载损坏执行器；安装简便： 采用万能夹可适配圆轴和方轴；控制精度： ±1%；支持单线控制或双线控制；可选配位置反馈开关；防护等级：IP54；工作噪音：不大于45dB；</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10</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水阀执行器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二通比例调节型 电压：24VDC/VAC，输入/反馈信号：0(2)~10V   0(4)~20mA</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11</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压差传感器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气体压差开关，50-500Pa，单刀双掷，±15%</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10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12</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防冻开关</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低温断路器，1.0~7.5℃，感温件长度：3米，单刀双掷，回差4～6℃</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13</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水道温度传感器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水管温度传感器，NTC10K输出，0~100℃，±0.3℃@25℃，管长150mm</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14</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水道压力传感器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压力变送器, 0～1.6MPa，4~20mA输出，±0.5%FS，DC24V,接口螺纹G1/2</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6</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15</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水道流量传感器</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插入式电磁流量计：管道口径DN200-DN600，DC24V供电，1 路 4-20mA 或 0-20mA输出，1 路隔离 RS485 输出，高度0.8米。</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16</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水流开关</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水流开关，单刀双掷，接口1″NPT，管径DN32-DN400</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17</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液位开关</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液位开关，单刀双掷，AC220V，5m，</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46</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18</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气体压力传感器（氧气）</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氧气专用压力变送器, 0～1.6MPa，4~20mA输出，±0.5%FS，DC24V,接口螺纹G1/2</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22</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19</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气体流量传感器（氧气）</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氧气专用流量传感器，耐压1.6MPa，4~20mA输出，RS485输出，</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25</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rPr>
            </w:pPr>
            <w:r>
              <w:rPr>
                <w:rFonts w:hint="eastAsia" w:ascii="宋体" w:hAnsi="宋体" w:eastAsia="宋体"/>
                <w:sz w:val="18"/>
                <w:szCs w:val="18"/>
              </w:rPr>
              <w:t>20</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DDC控制箱</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定制设备箱、变压器、熔断器、接线端子。</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11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1</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定制操作面板箱</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定制设备箱，接线端子，安装美观。</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2</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组态网关</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2路RS485 （2000点），输入端支持Modbus RTU、DTL645、CJ188协议、BACnet MS/TP、TCP/IP等多种协议，转发端MQTT、OPC、BACnet/IP、ModBus TCP等协议</w:t>
            </w:r>
          </w:p>
        </w:tc>
        <w:tc>
          <w:tcPr>
            <w:tcW w:w="846" w:type="dxa"/>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3</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线缆</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RVVP4*1.0</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4000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4</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线缆</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RVVP2*1,0</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3000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5</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通讯线</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RVSP2*1.0</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3500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6</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电源线</w:t>
            </w:r>
          </w:p>
        </w:tc>
        <w:tc>
          <w:tcPr>
            <w:tcW w:w="7248" w:type="dxa"/>
            <w:vAlign w:val="center"/>
          </w:tcPr>
          <w:p>
            <w:pPr>
              <w:jc w:val="center"/>
              <w:rPr>
                <w:rFonts w:hint="eastAsia" w:ascii="宋体" w:hAnsi="宋体" w:eastAsia="宋体"/>
                <w:sz w:val="18"/>
                <w:szCs w:val="18"/>
              </w:rPr>
            </w:pPr>
            <w:r>
              <w:rPr>
                <w:rFonts w:hint="eastAsia" w:ascii="宋体" w:hAnsi="宋体" w:eastAsia="宋体"/>
                <w:sz w:val="18"/>
                <w:szCs w:val="18"/>
              </w:rPr>
              <w:t>BV3*1.5</w:t>
            </w: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600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32" w:type="dxa"/>
            <w:noWrap/>
            <w:vAlign w:val="center"/>
          </w:tcPr>
          <w:p>
            <w:pPr>
              <w:jc w:val="center"/>
              <w:rPr>
                <w:rFonts w:hint="eastAsia" w:ascii="宋体" w:hAnsi="宋体" w:eastAsia="宋体"/>
                <w:sz w:val="18"/>
                <w:szCs w:val="18"/>
                <w:lang w:val="en-US" w:eastAsia="zh-CN"/>
              </w:rPr>
            </w:pPr>
            <w:r>
              <w:rPr>
                <w:rFonts w:hint="eastAsia" w:ascii="宋体" w:hAnsi="宋体" w:eastAsia="宋体"/>
                <w:sz w:val="18"/>
                <w:szCs w:val="18"/>
              </w:rPr>
              <w:t>2</w:t>
            </w:r>
            <w:r>
              <w:rPr>
                <w:rFonts w:hint="eastAsia" w:ascii="宋体" w:hAnsi="宋体" w:eastAsia="宋体"/>
                <w:sz w:val="18"/>
                <w:szCs w:val="18"/>
                <w:lang w:val="en-US" w:eastAsia="zh-CN"/>
              </w:rPr>
              <w:t>7</w:t>
            </w:r>
          </w:p>
        </w:tc>
        <w:tc>
          <w:tcPr>
            <w:tcW w:w="3425" w:type="dxa"/>
            <w:noWrap/>
            <w:vAlign w:val="center"/>
          </w:tcPr>
          <w:p>
            <w:pPr>
              <w:jc w:val="center"/>
              <w:rPr>
                <w:rFonts w:hint="eastAsia" w:ascii="宋体" w:hAnsi="宋体" w:eastAsia="宋体"/>
                <w:sz w:val="18"/>
                <w:szCs w:val="18"/>
              </w:rPr>
            </w:pPr>
            <w:r>
              <w:rPr>
                <w:rFonts w:hint="eastAsia" w:ascii="宋体" w:hAnsi="宋体" w:eastAsia="宋体"/>
                <w:sz w:val="18"/>
                <w:szCs w:val="18"/>
              </w:rPr>
              <w:t>网线</w:t>
            </w:r>
          </w:p>
        </w:tc>
        <w:tc>
          <w:tcPr>
            <w:tcW w:w="7248" w:type="dxa"/>
            <w:vAlign w:val="center"/>
          </w:tcPr>
          <w:p>
            <w:pPr>
              <w:jc w:val="center"/>
              <w:rPr>
                <w:rFonts w:hint="eastAsia" w:ascii="宋体" w:hAnsi="宋体" w:eastAsia="宋体"/>
                <w:sz w:val="18"/>
                <w:szCs w:val="18"/>
              </w:rPr>
            </w:pPr>
          </w:p>
        </w:tc>
        <w:tc>
          <w:tcPr>
            <w:tcW w:w="846" w:type="dxa"/>
            <w:noWrap/>
            <w:vAlign w:val="center"/>
          </w:tcPr>
          <w:p>
            <w:pPr>
              <w:jc w:val="center"/>
              <w:rPr>
                <w:rFonts w:hint="eastAsia" w:ascii="宋体" w:hAnsi="宋体" w:eastAsia="宋体"/>
                <w:sz w:val="18"/>
                <w:szCs w:val="18"/>
              </w:rPr>
            </w:pPr>
            <w:r>
              <w:rPr>
                <w:rFonts w:hint="eastAsia" w:ascii="宋体" w:hAnsi="宋体" w:eastAsia="宋体"/>
                <w:sz w:val="18"/>
                <w:szCs w:val="18"/>
              </w:rPr>
              <w:t>1000</w:t>
            </w:r>
          </w:p>
        </w:tc>
        <w:tc>
          <w:tcPr>
            <w:tcW w:w="609" w:type="dxa"/>
            <w:noWrap/>
            <w:vAlign w:val="center"/>
          </w:tcPr>
          <w:p>
            <w:pPr>
              <w:jc w:val="center"/>
              <w:rPr>
                <w:rFonts w:hint="eastAsia" w:ascii="宋体" w:hAnsi="宋体" w:eastAsia="宋体"/>
                <w:sz w:val="18"/>
                <w:szCs w:val="18"/>
              </w:rPr>
            </w:pPr>
            <w:r>
              <w:rPr>
                <w:rFonts w:hint="eastAsia" w:ascii="宋体" w:hAnsi="宋体" w:eastAsia="宋体"/>
                <w:sz w:val="18"/>
                <w:szCs w:val="18"/>
              </w:rPr>
              <w:t>米</w:t>
            </w:r>
          </w:p>
        </w:tc>
      </w:tr>
    </w:tbl>
    <w:p>
      <w:pPr>
        <w:jc w:val="left"/>
        <w:rPr>
          <w:rFonts w:hint="eastAsia" w:ascii="宋体" w:hAnsi="宋体" w:eastAsia="宋体"/>
          <w:sz w:val="22"/>
        </w:rPr>
      </w:pPr>
    </w:p>
    <w:p>
      <w:pPr>
        <w:widowControl/>
        <w:jc w:val="left"/>
        <w:rPr>
          <w:rFonts w:hint="eastAsia" w:ascii="宋体" w:hAnsi="宋体" w:eastAsia="宋体"/>
          <w:sz w:val="22"/>
        </w:rPr>
        <w:sectPr>
          <w:pgSz w:w="16838" w:h="11906" w:orient="landscape"/>
          <w:pgMar w:top="1797" w:right="1440" w:bottom="1797" w:left="1440" w:header="851" w:footer="992" w:gutter="0"/>
          <w:cols w:space="425" w:num="1"/>
          <w:docGrid w:type="linesAndChars" w:linePitch="312" w:charSpace="0"/>
        </w:sectPr>
      </w:pPr>
    </w:p>
    <w:p>
      <w:pPr>
        <w:widowControl/>
        <w:jc w:val="left"/>
        <w:rPr>
          <w:rFonts w:hint="eastAsia" w:ascii="宋体" w:hAnsi="宋体" w:eastAsia="宋体"/>
          <w:sz w:val="2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565"/>
        <w:gridCol w:w="2751"/>
        <w:gridCol w:w="106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5"/>
            <w:noWrap/>
            <w:vAlign w:val="center"/>
          </w:tcPr>
          <w:p>
            <w:pPr>
              <w:widowControl/>
              <w:jc w:val="center"/>
              <w:rPr>
                <w:rFonts w:hint="eastAsia" w:ascii="宋体" w:hAnsi="宋体" w:eastAsia="宋体"/>
                <w:b/>
                <w:bCs/>
                <w:sz w:val="18"/>
                <w:szCs w:val="18"/>
              </w:rPr>
            </w:pPr>
            <w:r>
              <w:rPr>
                <w:rFonts w:hint="eastAsia" w:ascii="宋体" w:hAnsi="宋体" w:eastAsia="宋体"/>
                <w:b/>
                <w:bCs/>
                <w:sz w:val="18"/>
                <w:szCs w:val="18"/>
              </w:rPr>
              <w:t>被控设备清单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序号</w:t>
            </w:r>
          </w:p>
        </w:tc>
        <w:tc>
          <w:tcPr>
            <w:tcW w:w="1504" w:type="pct"/>
            <w:vAlign w:val="center"/>
          </w:tcPr>
          <w:p>
            <w:pPr>
              <w:widowControl/>
              <w:jc w:val="center"/>
              <w:rPr>
                <w:rFonts w:hint="eastAsia" w:ascii="宋体" w:hAnsi="宋体" w:eastAsia="宋体"/>
                <w:sz w:val="18"/>
                <w:szCs w:val="18"/>
              </w:rPr>
            </w:pPr>
            <w:r>
              <w:rPr>
                <w:rFonts w:hint="eastAsia" w:ascii="宋体" w:hAnsi="宋体" w:eastAsia="宋体"/>
                <w:sz w:val="18"/>
                <w:szCs w:val="18"/>
              </w:rPr>
              <w:t>名称</w:t>
            </w:r>
          </w:p>
        </w:tc>
        <w:tc>
          <w:tcPr>
            <w:tcW w:w="1613" w:type="pct"/>
            <w:vAlign w:val="center"/>
          </w:tcPr>
          <w:p>
            <w:pPr>
              <w:widowControl/>
              <w:jc w:val="center"/>
              <w:rPr>
                <w:rFonts w:hint="eastAsia" w:ascii="宋体" w:hAnsi="宋体" w:eastAsia="宋体"/>
                <w:sz w:val="18"/>
                <w:szCs w:val="18"/>
              </w:rPr>
            </w:pPr>
            <w:r>
              <w:rPr>
                <w:rFonts w:hint="eastAsia" w:ascii="宋体" w:hAnsi="宋体" w:eastAsia="宋体"/>
                <w:sz w:val="18"/>
                <w:szCs w:val="18"/>
              </w:rPr>
              <w:t>参数/规格</w:t>
            </w: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数量</w:t>
            </w:r>
          </w:p>
        </w:tc>
        <w:tc>
          <w:tcPr>
            <w:tcW w:w="628" w:type="pct"/>
            <w:vAlign w:val="center"/>
          </w:tcPr>
          <w:p>
            <w:pPr>
              <w:widowControl/>
              <w:jc w:val="center"/>
              <w:rPr>
                <w:rFonts w:hint="eastAsia" w:ascii="宋体" w:hAnsi="宋体" w:eastAsia="宋体"/>
                <w:sz w:val="18"/>
                <w:szCs w:val="18"/>
              </w:rPr>
            </w:pPr>
            <w:r>
              <w:rPr>
                <w:rFonts w:hint="eastAsia" w:ascii="宋体" w:hAnsi="宋体" w:eastAsia="宋体"/>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5"/>
            <w:noWrap/>
            <w:vAlign w:val="center"/>
          </w:tcPr>
          <w:p>
            <w:pPr>
              <w:widowControl/>
              <w:jc w:val="center"/>
              <w:rPr>
                <w:rFonts w:hint="eastAsia" w:ascii="宋体" w:hAnsi="宋体" w:eastAsia="宋体"/>
                <w:sz w:val="18"/>
                <w:szCs w:val="18"/>
              </w:rPr>
            </w:pPr>
            <w:r>
              <w:rPr>
                <w:rFonts w:hint="eastAsia" w:ascii="宋体" w:hAnsi="宋体" w:eastAsia="宋体"/>
                <w:sz w:val="18"/>
                <w:szCs w:val="18"/>
              </w:rPr>
              <w:t>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风机盘管</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96</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2</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照明回路</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25</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3</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新风机组</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2</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5"/>
            <w:noWrap/>
            <w:vAlign w:val="center"/>
          </w:tcPr>
          <w:p>
            <w:pPr>
              <w:widowControl/>
              <w:jc w:val="center"/>
              <w:rPr>
                <w:rFonts w:hint="eastAsia" w:ascii="宋体" w:hAnsi="宋体" w:eastAsia="宋体"/>
                <w:sz w:val="18"/>
                <w:szCs w:val="18"/>
              </w:rPr>
            </w:pPr>
            <w:r>
              <w:rPr>
                <w:rFonts w:hint="eastAsia" w:ascii="宋体" w:hAnsi="宋体" w:eastAsia="宋体"/>
                <w:sz w:val="18"/>
                <w:szCs w:val="18"/>
              </w:rPr>
              <w:t>负一楼楼、顶楼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离心机组</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3</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2</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冷冻水泵（变频）</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4</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3</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冷却水泵（变频）</w:t>
            </w: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4</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4</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冷却塔风机（变频）</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3</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5</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电动蝶阀</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12</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6</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旁通阀</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7</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单泵集水坑</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19</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8</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双泵集水坑</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3</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9</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送排风机</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4</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10</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排烟风机</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6</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11</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新风机组</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4</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12</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空调机组</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13</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楼顶排风机</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5</w:t>
            </w:r>
          </w:p>
        </w:tc>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14</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氧气监测系统</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w:t>
            </w:r>
          </w:p>
        </w:tc>
        <w:tc>
          <w:tcPr>
            <w:tcW w:w="628" w:type="pct"/>
            <w:vAlign w:val="center"/>
          </w:tcPr>
          <w:p>
            <w:pPr>
              <w:widowControl/>
              <w:jc w:val="center"/>
              <w:rPr>
                <w:rFonts w:hint="eastAsia" w:ascii="宋体" w:hAnsi="宋体" w:eastAsia="宋体"/>
                <w:sz w:val="18"/>
                <w:szCs w:val="18"/>
              </w:rPr>
            </w:pPr>
            <w:r>
              <w:rPr>
                <w:rFonts w:hint="eastAsia" w:ascii="宋体" w:hAnsi="宋体" w:eastAsia="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15</w:t>
            </w:r>
          </w:p>
        </w:tc>
        <w:tc>
          <w:tcPr>
            <w:tcW w:w="1504" w:type="pct"/>
            <w:noWrap/>
            <w:vAlign w:val="center"/>
          </w:tcPr>
          <w:p>
            <w:pPr>
              <w:widowControl/>
              <w:jc w:val="center"/>
              <w:rPr>
                <w:rFonts w:hint="eastAsia" w:ascii="宋体" w:hAnsi="宋体" w:eastAsia="宋体"/>
                <w:sz w:val="18"/>
                <w:szCs w:val="18"/>
              </w:rPr>
            </w:pPr>
            <w:r>
              <w:rPr>
                <w:rFonts w:hint="eastAsia" w:ascii="宋体" w:hAnsi="宋体" w:eastAsia="宋体"/>
                <w:sz w:val="18"/>
                <w:szCs w:val="18"/>
              </w:rPr>
              <w:t>电梯系统</w:t>
            </w:r>
          </w:p>
        </w:tc>
        <w:tc>
          <w:tcPr>
            <w:tcW w:w="1613" w:type="pct"/>
            <w:noWrap/>
            <w:vAlign w:val="center"/>
          </w:tcPr>
          <w:p>
            <w:pPr>
              <w:widowControl/>
              <w:jc w:val="center"/>
              <w:rPr>
                <w:rFonts w:hint="eastAsia" w:ascii="宋体" w:hAnsi="宋体" w:eastAsia="宋体"/>
                <w:sz w:val="18"/>
                <w:szCs w:val="18"/>
              </w:rPr>
            </w:pPr>
          </w:p>
        </w:tc>
        <w:tc>
          <w:tcPr>
            <w:tcW w:w="627" w:type="pct"/>
            <w:vAlign w:val="center"/>
          </w:tcPr>
          <w:p>
            <w:pPr>
              <w:widowControl/>
              <w:jc w:val="center"/>
              <w:rPr>
                <w:rFonts w:hint="eastAsia" w:ascii="宋体" w:hAnsi="宋体" w:eastAsia="宋体"/>
                <w:sz w:val="18"/>
                <w:szCs w:val="18"/>
              </w:rPr>
            </w:pPr>
            <w:r>
              <w:rPr>
                <w:rFonts w:hint="eastAsia" w:ascii="宋体" w:hAnsi="宋体" w:eastAsia="宋体"/>
                <w:sz w:val="18"/>
                <w:szCs w:val="18"/>
              </w:rPr>
              <w:t>10</w:t>
            </w:r>
          </w:p>
        </w:tc>
        <w:tc>
          <w:tcPr>
            <w:tcW w:w="628" w:type="pct"/>
            <w:vAlign w:val="center"/>
          </w:tcPr>
          <w:p>
            <w:pPr>
              <w:widowControl/>
              <w:jc w:val="center"/>
              <w:rPr>
                <w:rFonts w:hint="eastAsia" w:ascii="宋体" w:hAnsi="宋体" w:eastAsia="宋体"/>
                <w:sz w:val="18"/>
                <w:szCs w:val="18"/>
              </w:rPr>
            </w:pPr>
            <w:r>
              <w:rPr>
                <w:rFonts w:hint="eastAsia" w:ascii="宋体" w:hAnsi="宋体" w:eastAsia="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 w:type="pct"/>
            <w:noWrap/>
            <w:vAlign w:val="center"/>
          </w:tcPr>
          <w:p>
            <w:pPr>
              <w:widowControl/>
              <w:jc w:val="center"/>
              <w:rPr>
                <w:rFonts w:hint="eastAsia" w:ascii="宋体" w:hAnsi="宋体" w:eastAsia="宋体"/>
                <w:sz w:val="18"/>
                <w:szCs w:val="18"/>
              </w:rPr>
            </w:pPr>
          </w:p>
        </w:tc>
        <w:tc>
          <w:tcPr>
            <w:tcW w:w="1504" w:type="pct"/>
            <w:noWrap/>
            <w:vAlign w:val="center"/>
          </w:tcPr>
          <w:p>
            <w:pPr>
              <w:widowControl/>
              <w:jc w:val="center"/>
              <w:rPr>
                <w:rFonts w:hint="eastAsia" w:ascii="宋体" w:hAnsi="宋体" w:eastAsia="宋体"/>
                <w:sz w:val="18"/>
                <w:szCs w:val="18"/>
              </w:rPr>
            </w:pPr>
          </w:p>
        </w:tc>
        <w:tc>
          <w:tcPr>
            <w:tcW w:w="1613" w:type="pct"/>
            <w:noWrap/>
            <w:vAlign w:val="center"/>
          </w:tcPr>
          <w:p>
            <w:pPr>
              <w:widowControl/>
              <w:jc w:val="center"/>
              <w:rPr>
                <w:rFonts w:hint="eastAsia" w:ascii="宋体" w:hAnsi="宋体" w:eastAsia="宋体"/>
                <w:sz w:val="18"/>
                <w:szCs w:val="18"/>
              </w:rPr>
            </w:pPr>
          </w:p>
        </w:tc>
        <w:tc>
          <w:tcPr>
            <w:tcW w:w="627" w:type="pct"/>
            <w:noWrap/>
            <w:vAlign w:val="center"/>
          </w:tcPr>
          <w:p>
            <w:pPr>
              <w:widowControl/>
              <w:jc w:val="center"/>
              <w:rPr>
                <w:rFonts w:hint="eastAsia" w:ascii="宋体" w:hAnsi="宋体" w:eastAsia="宋体"/>
                <w:sz w:val="18"/>
                <w:szCs w:val="18"/>
              </w:rPr>
            </w:pPr>
          </w:p>
        </w:tc>
        <w:tc>
          <w:tcPr>
            <w:tcW w:w="628" w:type="pct"/>
            <w:noWrap/>
            <w:vAlign w:val="center"/>
          </w:tcPr>
          <w:p>
            <w:pPr>
              <w:widowControl/>
              <w:jc w:val="center"/>
              <w:rPr>
                <w:rFonts w:hint="eastAsia" w:ascii="宋体" w:hAnsi="宋体" w:eastAsia="宋体"/>
                <w:sz w:val="18"/>
                <w:szCs w:val="18"/>
              </w:rPr>
            </w:pPr>
          </w:p>
        </w:tc>
      </w:tr>
    </w:tbl>
    <w:p>
      <w:pPr>
        <w:pStyle w:val="11"/>
        <w:keepNext w:val="0"/>
        <w:keepLines w:val="0"/>
        <w:pageBreakBefore w:val="0"/>
        <w:kinsoku/>
        <w:wordWrap/>
        <w:overflowPunct/>
        <w:topLinePunct w:val="0"/>
        <w:autoSpaceDE/>
        <w:autoSpaceDN/>
        <w:bidi w:val="0"/>
        <w:adjustRightInd/>
        <w:snapToGrid/>
        <w:spacing w:line="440" w:lineRule="exact"/>
        <w:ind w:firstLine="64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四、商务要求</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本次改造项目</w:t>
      </w:r>
      <w:r>
        <w:rPr>
          <w:rFonts w:hint="eastAsia" w:ascii="宋体" w:hAnsi="宋体" w:eastAsia="宋体" w:cs="宋体"/>
          <w:sz w:val="24"/>
          <w:szCs w:val="24"/>
        </w:rPr>
        <w:t>所有硬件产品验收合格后提供</w:t>
      </w:r>
      <w:r>
        <w:rPr>
          <w:rFonts w:hint="eastAsia" w:ascii="宋体" w:hAnsi="宋体" w:eastAsia="宋体" w:cs="宋体"/>
          <w:sz w:val="24"/>
          <w:szCs w:val="24"/>
          <w:lang w:val="en-US" w:eastAsia="zh-CN"/>
        </w:rPr>
        <w:t>2</w:t>
      </w:r>
      <w:r>
        <w:rPr>
          <w:rFonts w:hint="eastAsia" w:ascii="宋体" w:hAnsi="宋体" w:eastAsia="宋体" w:cs="宋体"/>
          <w:sz w:val="24"/>
          <w:szCs w:val="24"/>
        </w:rPr>
        <w:t>年质保服务，所有软件产品验收合格后提供</w:t>
      </w:r>
      <w:r>
        <w:rPr>
          <w:rFonts w:hint="eastAsia" w:ascii="宋体" w:hAnsi="宋体" w:eastAsia="宋体" w:cs="宋体"/>
          <w:sz w:val="24"/>
          <w:szCs w:val="24"/>
          <w:lang w:val="en-US" w:eastAsia="zh-CN"/>
        </w:rPr>
        <w:t>2</w:t>
      </w:r>
      <w:r>
        <w:rPr>
          <w:rFonts w:hint="eastAsia" w:ascii="宋体" w:hAnsi="宋体" w:eastAsia="宋体" w:cs="宋体"/>
          <w:sz w:val="24"/>
          <w:szCs w:val="24"/>
        </w:rPr>
        <w:t>年升级及维护服务，对软件产品生命周期内所有的重大BUG修复、关键安全性升级等服务应免费提供，保修期自</w:t>
      </w:r>
      <w:r>
        <w:rPr>
          <w:rFonts w:hint="eastAsia" w:ascii="宋体" w:hAnsi="宋体" w:eastAsia="宋体" w:cs="宋体"/>
          <w:sz w:val="24"/>
          <w:szCs w:val="24"/>
          <w:lang w:eastAsia="zh-CN"/>
        </w:rPr>
        <w:t>本次改造整体</w:t>
      </w:r>
      <w:r>
        <w:rPr>
          <w:rFonts w:hint="eastAsia" w:ascii="宋体" w:hAnsi="宋体" w:eastAsia="宋体" w:cs="宋体"/>
          <w:sz w:val="24"/>
          <w:szCs w:val="24"/>
        </w:rPr>
        <w:t>验收合格之日起算。</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乙方接到甲方故障通知后应在0.5小时内指派人员及时进行检测维修，如维修不涉及零配件更换，应在1小时内修复完毕；如涉及到零配件更换，应在4小时内修复完毕或立即免费提供同等性能的替用设备。若乙方未在规定期限内修复设备而给甲方造成经济损失，由乙方全额承担。</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保修期间如需更换零配件，乙方应保证所更换的零配件与原设备相同规格和品质；保修期外零配件及耗材的费用不得高于项目合同中提供的价格收取。</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若设备涉及计算机软件系统的，乙方有义务为甲方此后对设备完全的使用提供便利及支持，包括但不限于软件授权、产品相关技术文档、软件接口规范说明的提供，乙方不得拒绝或收取额外费用。</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项目验收前，要求提供</w:t>
      </w:r>
      <w:r>
        <w:rPr>
          <w:rFonts w:hint="eastAsia" w:ascii="宋体" w:hAnsi="宋体" w:eastAsia="宋体" w:cs="宋体"/>
          <w:sz w:val="24"/>
          <w:szCs w:val="24"/>
          <w:lang w:eastAsia="zh-CN"/>
        </w:rPr>
        <w:t>楼控系统</w:t>
      </w:r>
      <w:r>
        <w:rPr>
          <w:rFonts w:hint="eastAsia" w:ascii="宋体" w:hAnsi="宋体" w:eastAsia="宋体" w:cs="宋体"/>
          <w:sz w:val="24"/>
          <w:szCs w:val="24"/>
        </w:rPr>
        <w:t>的使用培训，包括对所用软件系统的常规性调整、硬件故障判断、排查、处理能力等日常使用、维护的培训。</w:t>
      </w:r>
    </w:p>
    <w:p>
      <w:pPr>
        <w:pStyle w:val="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（六）验收标准：验收前，乙方需提供详细设备清单及相应设备合格证书，软件功能说明及操作说明书，软件配置说明书以及详细的竣工图纸（含设备安装点位图、线路图、供电图等）。</w:t>
      </w:r>
    </w:p>
    <w:p>
      <w:pPr>
        <w:pStyle w:val="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报价要求：本项目为固定总价合同。但潜在投标人应把拟定的改造清单的设备单价罗列清楚。潜在供应商在报价前可到甲方实地进行调研，并对报价清单进行完善。采购人本次提供的招标清单为预估清单，项目在实施过程中如果发现设备缺失或者相关的配件缺失，由乙方承担。</w:t>
      </w:r>
    </w:p>
    <w:p>
      <w:pPr>
        <w:pStyle w:val="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24"/>
          <w:szCs w:val="24"/>
          <w:lang w:eastAsia="zh-CN"/>
        </w:rPr>
        <w:t>（八）潜在供应商在对采购人楼控系统进行改造时应做好工程施工安全防护，切实保障采购人现场人员及施工人员的人身财产安全，如发生任何的安全事故，责任全部由潜在供应商承担，如发生违法行为，采购人有权向潜在供应商追究相应法律责任。潜在供应商应承诺，在项目实施前，潜在供应商应为现场施工人员购买第三方相关人身安全保险。同时，潜在供应商在改造施工时，应保证采购人原有楼控系统未改造部分的正常使用。（提供承诺函）</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8BD99"/>
    <w:multiLevelType w:val="singleLevel"/>
    <w:tmpl w:val="4B58BD99"/>
    <w:lvl w:ilvl="0" w:tentative="0">
      <w:start w:val="1"/>
      <w:numFmt w:val="chineseCounting"/>
      <w:suff w:val="nothing"/>
      <w:lvlText w:val="（%1）"/>
      <w:lvlJc w:val="left"/>
      <w:rPr>
        <w:rFonts w:hint="eastAsia"/>
      </w:rPr>
    </w:lvl>
  </w:abstractNum>
  <w:abstractNum w:abstractNumId="1">
    <w:nsid w:val="535C7BCC"/>
    <w:multiLevelType w:val="singleLevel"/>
    <w:tmpl w:val="535C7BCC"/>
    <w:lvl w:ilvl="0" w:tentative="0">
      <w:start w:val="2"/>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MGNkMzVkMTE3NjMxOGU3ZTFkZjI3MmM2NGZkMjIifQ=="/>
  </w:docVars>
  <w:rsids>
    <w:rsidRoot w:val="00891075"/>
    <w:rsid w:val="0001707C"/>
    <w:rsid w:val="000255C8"/>
    <w:rsid w:val="0006050D"/>
    <w:rsid w:val="00077AF2"/>
    <w:rsid w:val="000A0E5C"/>
    <w:rsid w:val="000A23E1"/>
    <w:rsid w:val="000B3500"/>
    <w:rsid w:val="000C47FE"/>
    <w:rsid w:val="000C73B7"/>
    <w:rsid w:val="000D5771"/>
    <w:rsid w:val="000D6438"/>
    <w:rsid w:val="000D734A"/>
    <w:rsid w:val="000E1BDE"/>
    <w:rsid w:val="00117216"/>
    <w:rsid w:val="0012008D"/>
    <w:rsid w:val="00127FE9"/>
    <w:rsid w:val="00150B74"/>
    <w:rsid w:val="00160006"/>
    <w:rsid w:val="001736FF"/>
    <w:rsid w:val="00176E71"/>
    <w:rsid w:val="0018141A"/>
    <w:rsid w:val="001C007A"/>
    <w:rsid w:val="001C17E1"/>
    <w:rsid w:val="0020360E"/>
    <w:rsid w:val="00212D3D"/>
    <w:rsid w:val="00215008"/>
    <w:rsid w:val="00221DF1"/>
    <w:rsid w:val="002417EB"/>
    <w:rsid w:val="002661CC"/>
    <w:rsid w:val="002E5DF3"/>
    <w:rsid w:val="002F0716"/>
    <w:rsid w:val="002F23FE"/>
    <w:rsid w:val="003071D0"/>
    <w:rsid w:val="003176AB"/>
    <w:rsid w:val="0037424F"/>
    <w:rsid w:val="00381BCD"/>
    <w:rsid w:val="003A51AD"/>
    <w:rsid w:val="003F5360"/>
    <w:rsid w:val="004158D0"/>
    <w:rsid w:val="00424BB2"/>
    <w:rsid w:val="0043097E"/>
    <w:rsid w:val="00433974"/>
    <w:rsid w:val="004562F0"/>
    <w:rsid w:val="00463DF8"/>
    <w:rsid w:val="00487BCA"/>
    <w:rsid w:val="00510E90"/>
    <w:rsid w:val="005131E0"/>
    <w:rsid w:val="005562BD"/>
    <w:rsid w:val="00561850"/>
    <w:rsid w:val="00585A2F"/>
    <w:rsid w:val="005B3142"/>
    <w:rsid w:val="005B3AF1"/>
    <w:rsid w:val="005C28EE"/>
    <w:rsid w:val="005D04CC"/>
    <w:rsid w:val="005D663D"/>
    <w:rsid w:val="00614A27"/>
    <w:rsid w:val="006335D4"/>
    <w:rsid w:val="006848BC"/>
    <w:rsid w:val="00684DB6"/>
    <w:rsid w:val="00690F50"/>
    <w:rsid w:val="006A0ECC"/>
    <w:rsid w:val="006A2B14"/>
    <w:rsid w:val="006B6AFE"/>
    <w:rsid w:val="006C6F1C"/>
    <w:rsid w:val="006F21DF"/>
    <w:rsid w:val="006F43E1"/>
    <w:rsid w:val="006F739D"/>
    <w:rsid w:val="00700C14"/>
    <w:rsid w:val="00750F39"/>
    <w:rsid w:val="00783B4E"/>
    <w:rsid w:val="00814BFD"/>
    <w:rsid w:val="008156D6"/>
    <w:rsid w:val="008235F1"/>
    <w:rsid w:val="008311E6"/>
    <w:rsid w:val="00833CF9"/>
    <w:rsid w:val="0086279A"/>
    <w:rsid w:val="008652C7"/>
    <w:rsid w:val="00877E1C"/>
    <w:rsid w:val="00881BC4"/>
    <w:rsid w:val="00891075"/>
    <w:rsid w:val="008A42DF"/>
    <w:rsid w:val="008A6B8E"/>
    <w:rsid w:val="008B02A0"/>
    <w:rsid w:val="008C0918"/>
    <w:rsid w:val="008D0715"/>
    <w:rsid w:val="008E3307"/>
    <w:rsid w:val="008E7D85"/>
    <w:rsid w:val="009026EC"/>
    <w:rsid w:val="00953D72"/>
    <w:rsid w:val="009A6308"/>
    <w:rsid w:val="009C169A"/>
    <w:rsid w:val="009C5706"/>
    <w:rsid w:val="009D239B"/>
    <w:rsid w:val="009D6A57"/>
    <w:rsid w:val="009D7455"/>
    <w:rsid w:val="009E1E40"/>
    <w:rsid w:val="009F3AF6"/>
    <w:rsid w:val="00A01B9A"/>
    <w:rsid w:val="00A22302"/>
    <w:rsid w:val="00A334DD"/>
    <w:rsid w:val="00A35805"/>
    <w:rsid w:val="00A60F7F"/>
    <w:rsid w:val="00A76738"/>
    <w:rsid w:val="00A80FA1"/>
    <w:rsid w:val="00A84FF9"/>
    <w:rsid w:val="00AA40C9"/>
    <w:rsid w:val="00AB1C11"/>
    <w:rsid w:val="00AB6106"/>
    <w:rsid w:val="00AD2122"/>
    <w:rsid w:val="00AD3856"/>
    <w:rsid w:val="00AD47D5"/>
    <w:rsid w:val="00AE31B4"/>
    <w:rsid w:val="00AE45E8"/>
    <w:rsid w:val="00B34C01"/>
    <w:rsid w:val="00B5275E"/>
    <w:rsid w:val="00B63AC4"/>
    <w:rsid w:val="00B656AF"/>
    <w:rsid w:val="00B67AF5"/>
    <w:rsid w:val="00B8491D"/>
    <w:rsid w:val="00B868BE"/>
    <w:rsid w:val="00B86CAA"/>
    <w:rsid w:val="00B91743"/>
    <w:rsid w:val="00BA4EEC"/>
    <w:rsid w:val="00BC12D7"/>
    <w:rsid w:val="00BC3FD4"/>
    <w:rsid w:val="00BD65F6"/>
    <w:rsid w:val="00BD730E"/>
    <w:rsid w:val="00C06EBD"/>
    <w:rsid w:val="00C1789A"/>
    <w:rsid w:val="00C23EB6"/>
    <w:rsid w:val="00C300ED"/>
    <w:rsid w:val="00C4009B"/>
    <w:rsid w:val="00C51784"/>
    <w:rsid w:val="00C6326C"/>
    <w:rsid w:val="00C85DFD"/>
    <w:rsid w:val="00C86ABC"/>
    <w:rsid w:val="00CA05BA"/>
    <w:rsid w:val="00CA06C3"/>
    <w:rsid w:val="00CB64F5"/>
    <w:rsid w:val="00CB66AC"/>
    <w:rsid w:val="00CC193E"/>
    <w:rsid w:val="00CE04A7"/>
    <w:rsid w:val="00D35D16"/>
    <w:rsid w:val="00D43D80"/>
    <w:rsid w:val="00D513D2"/>
    <w:rsid w:val="00D51C5B"/>
    <w:rsid w:val="00D6535D"/>
    <w:rsid w:val="00D94EBE"/>
    <w:rsid w:val="00D96CF0"/>
    <w:rsid w:val="00DB53B4"/>
    <w:rsid w:val="00DD6205"/>
    <w:rsid w:val="00DF78CC"/>
    <w:rsid w:val="00E1058C"/>
    <w:rsid w:val="00E5044E"/>
    <w:rsid w:val="00E74753"/>
    <w:rsid w:val="00E84F34"/>
    <w:rsid w:val="00E87280"/>
    <w:rsid w:val="00EA6C56"/>
    <w:rsid w:val="00EF3060"/>
    <w:rsid w:val="00F14452"/>
    <w:rsid w:val="00F14513"/>
    <w:rsid w:val="00F16A2B"/>
    <w:rsid w:val="00F362B0"/>
    <w:rsid w:val="00F4295B"/>
    <w:rsid w:val="00F440FD"/>
    <w:rsid w:val="00F56C0C"/>
    <w:rsid w:val="00F5749D"/>
    <w:rsid w:val="00F71C99"/>
    <w:rsid w:val="00F736CE"/>
    <w:rsid w:val="00F8681A"/>
    <w:rsid w:val="00F9033F"/>
    <w:rsid w:val="00FB7826"/>
    <w:rsid w:val="00FD758D"/>
    <w:rsid w:val="00FF410C"/>
    <w:rsid w:val="00FF6EE3"/>
    <w:rsid w:val="038866E0"/>
    <w:rsid w:val="05D76759"/>
    <w:rsid w:val="0FF0511D"/>
    <w:rsid w:val="1A246A27"/>
    <w:rsid w:val="1FDB6EFD"/>
    <w:rsid w:val="24EF55CC"/>
    <w:rsid w:val="288409E9"/>
    <w:rsid w:val="28946B6F"/>
    <w:rsid w:val="29304220"/>
    <w:rsid w:val="430C3AAB"/>
    <w:rsid w:val="5E031645"/>
    <w:rsid w:val="5EAB7E1E"/>
    <w:rsid w:val="618A275E"/>
    <w:rsid w:val="636A48AB"/>
    <w:rsid w:val="79D8066B"/>
    <w:rsid w:val="7EFE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4">
    <w:name w:val="heading 2"/>
    <w:basedOn w:val="3"/>
    <w:next w:val="5"/>
    <w:link w:val="13"/>
    <w:semiHidden/>
    <w:unhideWhenUsed/>
    <w:qFormat/>
    <w:uiPriority w:val="9"/>
    <w:pPr>
      <w:widowControl/>
      <w:spacing w:before="260" w:after="260" w:line="415" w:lineRule="auto"/>
      <w:jc w:val="left"/>
      <w:outlineLvl w:val="1"/>
    </w:pPr>
    <w:rPr>
      <w:rFonts w:asciiTheme="majorHAnsi" w:hAnsiTheme="majorHAnsi" w:eastAsiaTheme="majorEastAsia" w:cstheme="majorBidi"/>
      <w:bCs w:val="0"/>
      <w:sz w:val="32"/>
      <w:szCs w:val="32"/>
    </w:rPr>
  </w:style>
  <w:style w:type="paragraph" w:styleId="5">
    <w:name w:val="heading 3"/>
    <w:basedOn w:val="4"/>
    <w:next w:val="6"/>
    <w:link w:val="14"/>
    <w:unhideWhenUsed/>
    <w:qFormat/>
    <w:uiPriority w:val="9"/>
    <w:pPr>
      <w:outlineLvl w:val="2"/>
    </w:pPr>
    <w:rPr>
      <w:b w:val="0"/>
      <w:bCs/>
      <w:sz w:val="30"/>
    </w:rPr>
  </w:style>
  <w:style w:type="paragraph" w:styleId="6">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7">
    <w:name w:val="Normal Indent"/>
    <w:basedOn w:val="1"/>
    <w:unhideWhenUsed/>
    <w:qFormat/>
    <w:uiPriority w:val="0"/>
    <w:pPr>
      <w:spacing w:line="360" w:lineRule="auto"/>
    </w:pPr>
    <w:rPr>
      <w:rFonts w:ascii="Times New Roman" w:hAnsi="Times New Roman" w:eastAsia="宋体" w:cs="Times New Roman"/>
      <w:sz w:val="24"/>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标题 1 字符"/>
    <w:basedOn w:val="10"/>
    <w:link w:val="3"/>
    <w:qFormat/>
    <w:uiPriority w:val="9"/>
    <w:rPr>
      <w:b/>
      <w:bCs/>
      <w:kern w:val="44"/>
      <w:sz w:val="44"/>
      <w:szCs w:val="44"/>
    </w:rPr>
  </w:style>
  <w:style w:type="character" w:customStyle="1" w:styleId="13">
    <w:name w:val="标题 2 字符"/>
    <w:basedOn w:val="10"/>
    <w:link w:val="4"/>
    <w:semiHidden/>
    <w:qFormat/>
    <w:uiPriority w:val="9"/>
    <w:rPr>
      <w:rFonts w:asciiTheme="majorHAnsi" w:hAnsiTheme="majorHAnsi" w:eastAsiaTheme="majorEastAsia" w:cstheme="majorBidi"/>
      <w:b/>
      <w:kern w:val="44"/>
      <w:sz w:val="32"/>
      <w:szCs w:val="32"/>
    </w:rPr>
  </w:style>
  <w:style w:type="character" w:customStyle="1" w:styleId="14">
    <w:name w:val="标题 3 字符"/>
    <w:basedOn w:val="10"/>
    <w:link w:val="5"/>
    <w:qFormat/>
    <w:uiPriority w:val="9"/>
    <w:rPr>
      <w:rFonts w:asciiTheme="majorHAnsi" w:hAnsiTheme="majorHAnsi" w:eastAsiaTheme="majorEastAsia" w:cstheme="majorBidi"/>
      <w:bCs/>
      <w:kern w:val="44"/>
      <w:sz w:val="30"/>
      <w:szCs w:val="32"/>
    </w:rPr>
  </w:style>
  <w:style w:type="character" w:customStyle="1" w:styleId="15">
    <w:name w:val="标题 4 字符"/>
    <w:basedOn w:val="10"/>
    <w:link w:val="6"/>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1224</Words>
  <Characters>6979</Characters>
  <Lines>58</Lines>
  <Paragraphs>16</Paragraphs>
  <TotalTime>5</TotalTime>
  <ScaleCrop>false</ScaleCrop>
  <LinksUpToDate>false</LinksUpToDate>
  <CharactersWithSpaces>8187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2024-11-04T04:35:00Z</dcterms:created>
  <dc:creator>鑫 冉</dc:creator>
  <cp:lastModifiedBy>violet</cp:lastModifiedBy>
  <cp:lastPrinted>2024-11-12T03:08:00Z</cp:lastPrinted>
  <dcterms:modified xsi:type="dcterms:W3CDTF">2024-12-04T02:28:20Z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E94D41C0D6434182AC6A221586B24676_13</vt:lpwstr>
  </property>
</Properties>
</file>