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0D477">
      <w:pPr>
        <w:jc w:val="center"/>
      </w:pPr>
      <w:r>
        <w:rPr>
          <w:rFonts w:ascii="仿宋_GB2312" w:hAnsi="仿宋_GB2312" w:eastAsia="仿宋_GB2312" w:cs="仿宋_GB2312"/>
          <w:b/>
          <w:sz w:val="36"/>
        </w:rPr>
        <w:t>技术、服务及其他要求</w:t>
      </w:r>
    </w:p>
    <w:p w14:paraId="5AC07E30">
      <w:pPr>
        <w:pStyle w:val="5"/>
        <w:jc w:val="left"/>
        <w:outlineLvl w:val="1"/>
        <w:rPr>
          <w:rFonts w:hint="eastAsia" w:eastAsia="仿宋_GB2312"/>
          <w:lang w:eastAsia="zh-CN"/>
        </w:rPr>
      </w:pPr>
      <w:r>
        <w:rPr>
          <w:rFonts w:hint="eastAsia" w:ascii="仿宋_GB2312" w:hAnsi="仿宋_GB2312" w:eastAsia="仿宋_GB2312" w:cs="仿宋_GB2312"/>
          <w:b/>
          <w:sz w:val="28"/>
          <w:lang w:val="en-US" w:eastAsia="zh-CN"/>
        </w:rPr>
        <w:t>一、</w:t>
      </w:r>
      <w:r>
        <w:rPr>
          <w:rFonts w:ascii="仿宋_GB2312" w:hAnsi="仿宋_GB2312" w:eastAsia="仿宋_GB2312" w:cs="仿宋_GB2312"/>
          <w:b/>
          <w:sz w:val="28"/>
        </w:rPr>
        <w:t>采购内容</w:t>
      </w:r>
    </w:p>
    <w:p w14:paraId="032F6D8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搭建覆盖医院周边1-3公里停车场的智慧余位管理体系，实现余位实时同步、多端精准引导、通行高效便捷，缓解就医停车拥堵，提升车主就医体验与周边交通管理效率。</w:t>
      </w:r>
    </w:p>
    <w:p w14:paraId="24AE6119">
      <w:pPr>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核心架构设计</w:t>
      </w:r>
    </w:p>
    <w:p w14:paraId="39177012">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数据采集层</w:t>
      </w:r>
    </w:p>
    <w:p w14:paraId="51607A77">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部署多元感知设备：在合作停车场出入口同步接入停车场现有管理系统数据，双渠道采集车位占用状态、进出车流量等信息，保障数据全面性。</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需要合作停车场数据接口开放</w:t>
      </w:r>
      <w:r>
        <w:rPr>
          <w:rFonts w:hint="eastAsia" w:ascii="仿宋" w:hAnsi="仿宋" w:eastAsia="仿宋" w:cs="仿宋"/>
          <w:sz w:val="24"/>
          <w:szCs w:val="24"/>
          <w:lang w:eastAsia="zh-CN"/>
        </w:rPr>
        <w:t>）</w:t>
      </w:r>
    </w:p>
    <w:p w14:paraId="28AF29F0">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数据处理层</w:t>
      </w:r>
    </w:p>
    <w:p w14:paraId="3F08091C">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搭建边缘计算节点与云平台协同架构，边缘节点实时预处理设备采集数据，过滤无效信息；云平台通过AI算法分析数据，结合时段、节假日等维度预测车位周转率，实现余位信息秒级更新与智能预判，同时建立数据加密机制保障信息安全。</w:t>
      </w:r>
      <w:r>
        <w:rPr>
          <w:rFonts w:hint="eastAsia" w:ascii="仿宋" w:hAnsi="仿宋" w:eastAsia="仿宋" w:cs="仿宋"/>
          <w:sz w:val="24"/>
          <w:szCs w:val="24"/>
          <w:lang w:val="en-US" w:eastAsia="zh-CN"/>
        </w:rPr>
        <w:t>(根据4G网络效率实时更新）</w:t>
      </w:r>
    </w:p>
    <w:p w14:paraId="2046F6BE">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服务展示层</w:t>
      </w:r>
    </w:p>
    <w:p w14:paraId="643A8F6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在医院入口、周边主干道500米内布设引导智慧屏，用绿（充足）、黄（紧张）、红（满位）三色标注余位状态，搭配箭头指引行驶方向。</w:t>
      </w:r>
    </w:p>
    <w:p w14:paraId="6BB6CE27">
      <w:pPr>
        <w:spacing w:line="360" w:lineRule="auto"/>
        <w:jc w:val="center"/>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 xml:space="preserve">二级诱导显示屏示意图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3481070" cy="1697355"/>
            <wp:effectExtent l="0" t="0" r="5080" b="17145"/>
            <wp:docPr id="2" name="图片 1" descr="2cbbc60e-1bde-4e74-a27c-ff3020ea5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cbbc60e-1bde-4e74-a27c-ff3020ea5e88"/>
                    <pic:cNvPicPr>
                      <a:picLocks noChangeAspect="1"/>
                    </pic:cNvPicPr>
                  </pic:nvPicPr>
                  <pic:blipFill>
                    <a:blip r:embed="rId4"/>
                    <a:stretch>
                      <a:fillRect/>
                    </a:stretch>
                  </pic:blipFill>
                  <pic:spPr>
                    <a:xfrm>
                      <a:off x="0" y="0"/>
                      <a:ext cx="3481070" cy="1697355"/>
                    </a:xfrm>
                    <a:prstGeom prst="rect">
                      <a:avLst/>
                    </a:prstGeom>
                    <a:noFill/>
                    <a:ln>
                      <a:noFill/>
                    </a:ln>
                  </pic:spPr>
                </pic:pic>
              </a:graphicData>
            </a:graphic>
          </wp:inline>
        </w:drawing>
      </w:r>
      <w:r>
        <w:rPr>
          <w:rFonts w:hint="eastAsia" w:ascii="仿宋" w:hAnsi="仿宋" w:eastAsia="仿宋" w:cs="仿宋"/>
          <w:sz w:val="24"/>
          <w:szCs w:val="24"/>
          <w:lang w:val="en-US" w:eastAsia="zh-CN"/>
        </w:rPr>
        <w:t xml:space="preserve">                           </w:t>
      </w:r>
    </w:p>
    <w:p w14:paraId="115272BC">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70994A30">
      <w:pPr>
        <w:spacing w:line="36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三级诱导显示屏示意图</w:t>
      </w:r>
    </w:p>
    <w:p w14:paraId="71442CD3">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336800" cy="3275330"/>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336800" cy="3275330"/>
                    </a:xfrm>
                    <a:prstGeom prst="rect">
                      <a:avLst/>
                    </a:prstGeom>
                    <a:noFill/>
                    <a:ln>
                      <a:noFill/>
                    </a:ln>
                  </pic:spPr>
                </pic:pic>
              </a:graphicData>
            </a:graphic>
          </wp:inline>
        </w:drawing>
      </w:r>
    </w:p>
    <w:p w14:paraId="1F28052B">
      <w:pPr>
        <w:spacing w:line="36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平面布置图</w:t>
      </w:r>
    </w:p>
    <w:p w14:paraId="69A3A1D2">
      <w:pPr>
        <w:spacing w:line="360" w:lineRule="auto"/>
        <w:rPr>
          <w:rFonts w:hint="eastAsia" w:ascii="仿宋" w:hAnsi="仿宋" w:eastAsia="仿宋" w:cs="仿宋"/>
          <w:sz w:val="24"/>
          <w:szCs w:val="24"/>
          <w:lang w:val="en-US" w:eastAsia="zh-CN"/>
        </w:rPr>
      </w:pPr>
      <w:r>
        <w:rPr>
          <w:rFonts w:hint="default"/>
          <w:lang w:val="en-US" w:eastAsia="zh-CN"/>
        </w:rPr>
        <w:drawing>
          <wp:inline distT="0" distB="0" distL="114300" distR="114300">
            <wp:extent cx="5477510" cy="3383915"/>
            <wp:effectExtent l="0" t="0" r="8890" b="6985"/>
            <wp:docPr id="1" name="图片 1" descr="b76ee815-739f-4b70-b955-24cdaf2b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6ee815-739f-4b70-b955-24cdaf2b2908"/>
                    <pic:cNvPicPr>
                      <a:picLocks noChangeAspect="1"/>
                    </pic:cNvPicPr>
                  </pic:nvPicPr>
                  <pic:blipFill>
                    <a:blip r:embed="rId6"/>
                    <a:stretch>
                      <a:fillRect/>
                    </a:stretch>
                  </pic:blipFill>
                  <pic:spPr>
                    <a:xfrm>
                      <a:off x="0" y="0"/>
                      <a:ext cx="5477510" cy="3383915"/>
                    </a:xfrm>
                    <a:prstGeom prst="rect">
                      <a:avLst/>
                    </a:prstGeom>
                    <a:noFill/>
                    <a:ln>
                      <a:noFill/>
                    </a:ln>
                  </pic:spPr>
                </pic:pic>
              </a:graphicData>
            </a:graphic>
          </wp:inline>
        </w:drawing>
      </w:r>
    </w:p>
    <w:p w14:paraId="3EA3F48A">
      <w:pPr>
        <w:spacing w:line="360" w:lineRule="auto"/>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2.实施保障</w:t>
      </w:r>
    </w:p>
    <w:p w14:paraId="0FF7737E">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合作对接</w:t>
      </w:r>
    </w:p>
    <w:p w14:paraId="159D89A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与周边商业综合体、社区、公共停车场签订数据共享协议，明确信息同步责任；联动交管、城管部门，协调路侧引导屏布设与交通疏导配合。</w:t>
      </w:r>
    </w:p>
    <w:p w14:paraId="3883FE41">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技术运维</w:t>
      </w:r>
    </w:p>
    <w:p w14:paraId="0BBA2EC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组建专项运维团队，每日巡检设备运行状态，每季度进行系统升级；建立7×24小时应急响应机制，设备故障1小时内到场处理，保障系统稳定运行。</w:t>
      </w:r>
    </w:p>
    <w:p w14:paraId="67188039">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2.3</w:t>
      </w:r>
      <w:r>
        <w:rPr>
          <w:rFonts w:hint="eastAsia" w:ascii="仿宋" w:hAnsi="仿宋" w:eastAsia="仿宋" w:cs="仿宋"/>
          <w:sz w:val="24"/>
          <w:szCs w:val="24"/>
        </w:rPr>
        <w:t>用户推广</w:t>
      </w:r>
    </w:p>
    <w:p w14:paraId="6A0B9BE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通过医院门诊告知、公众号推文、现场引导员讲解等方式，向车主普及系统使用流程，提升用户使用率。</w:t>
      </w:r>
    </w:p>
    <w:p w14:paraId="4CC6E8C4">
      <w:pPr>
        <w:pStyle w:val="5"/>
        <w:jc w:val="left"/>
        <w:outlineLvl w:val="1"/>
      </w:pPr>
      <w:r>
        <w:rPr>
          <w:rFonts w:hint="eastAsia" w:ascii="仿宋_GB2312" w:hAnsi="仿宋_GB2312" w:eastAsia="仿宋_GB2312" w:cs="仿宋_GB2312"/>
          <w:b/>
          <w:sz w:val="28"/>
          <w:lang w:val="en-US" w:eastAsia="zh-CN"/>
        </w:rPr>
        <w:t>二、</w:t>
      </w:r>
      <w:r>
        <w:rPr>
          <w:rFonts w:ascii="仿宋_GB2312" w:hAnsi="仿宋_GB2312" w:eastAsia="仿宋_GB2312" w:cs="仿宋_GB2312"/>
          <w:b/>
          <w:sz w:val="28"/>
        </w:rPr>
        <w:t>技术要求</w:t>
      </w:r>
    </w:p>
    <w:tbl>
      <w:tblPr>
        <w:tblStyle w:val="3"/>
        <w:tblW w:w="9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2"/>
        <w:gridCol w:w="1857"/>
        <w:gridCol w:w="2520"/>
        <w:gridCol w:w="3182"/>
        <w:gridCol w:w="819"/>
      </w:tblGrid>
      <w:tr w14:paraId="26543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99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B3904E">
            <w:pPr>
              <w:keepNext w:val="0"/>
              <w:keepLines w:val="0"/>
              <w:widowControl/>
              <w:suppressLineNumbers w:val="0"/>
              <w:jc w:val="center"/>
              <w:textAlignment w:val="center"/>
              <w:rPr>
                <w:rFonts w:ascii="方正仿宋_GB2312" w:hAnsi="方正仿宋_GB2312" w:eastAsia="方正仿宋_GB2312" w:cs="方正仿宋_GB2312"/>
                <w:b/>
                <w:bCs/>
                <w:i w:val="0"/>
                <w:iCs w:val="0"/>
                <w:color w:val="000000"/>
                <w:sz w:val="24"/>
                <w:szCs w:val="24"/>
                <w:u w:val="none"/>
              </w:rPr>
            </w:pPr>
            <w:r>
              <w:rPr>
                <w:rFonts w:hint="default" w:ascii="方正仿宋_GB2312" w:hAnsi="方正仿宋_GB2312" w:eastAsia="方正仿宋_GB2312" w:cs="方正仿宋_GB2312"/>
                <w:b/>
                <w:bCs/>
                <w:i w:val="0"/>
                <w:iCs w:val="0"/>
                <w:color w:val="000000"/>
                <w:kern w:val="0"/>
                <w:sz w:val="24"/>
                <w:szCs w:val="24"/>
                <w:u w:val="none"/>
                <w:lang w:val="en-US" w:eastAsia="zh-CN" w:bidi="ar"/>
              </w:rPr>
              <w:t>清单</w:t>
            </w:r>
          </w:p>
        </w:tc>
      </w:tr>
      <w:tr w14:paraId="7E10A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65A2B">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sz w:val="20"/>
                <w:szCs w:val="20"/>
                <w:u w:val="none"/>
              </w:rPr>
            </w:pPr>
            <w:r>
              <w:rPr>
                <w:rFonts w:hint="default" w:ascii="方正仿宋_GB2312" w:hAnsi="方正仿宋_GB2312" w:eastAsia="方正仿宋_GB2312" w:cs="方正仿宋_GB2312"/>
                <w:b/>
                <w:bCs/>
                <w:i w:val="0"/>
                <w:iCs w:val="0"/>
                <w:color w:val="000000"/>
                <w:kern w:val="0"/>
                <w:sz w:val="20"/>
                <w:szCs w:val="20"/>
                <w:u w:val="none"/>
                <w:lang w:val="en-US" w:eastAsia="zh-CN" w:bidi="ar"/>
              </w:rPr>
              <w:t>产品名称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A2FF">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sz w:val="20"/>
                <w:szCs w:val="20"/>
                <w:u w:val="none"/>
              </w:rPr>
            </w:pPr>
            <w:r>
              <w:rPr>
                <w:rFonts w:hint="default" w:ascii="方正仿宋_GB2312" w:hAnsi="方正仿宋_GB2312" w:eastAsia="方正仿宋_GB2312" w:cs="方正仿宋_GB2312"/>
                <w:b/>
                <w:bCs/>
                <w:i w:val="0"/>
                <w:iCs w:val="0"/>
                <w:color w:val="000000"/>
                <w:kern w:val="0"/>
                <w:sz w:val="20"/>
                <w:szCs w:val="20"/>
                <w:u w:val="none"/>
                <w:lang w:val="en-US" w:eastAsia="zh-CN" w:bidi="ar"/>
              </w:rPr>
              <w:t>配件明细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2901">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sz w:val="20"/>
                <w:szCs w:val="20"/>
                <w:u w:val="none"/>
              </w:rPr>
            </w:pPr>
            <w:r>
              <w:rPr>
                <w:rFonts w:hint="default" w:ascii="方正仿宋_GB2312" w:hAnsi="方正仿宋_GB2312" w:eastAsia="方正仿宋_GB2312" w:cs="方正仿宋_GB2312"/>
                <w:b/>
                <w:bCs/>
                <w:i w:val="0"/>
                <w:iCs w:val="0"/>
                <w:color w:val="000000"/>
                <w:kern w:val="0"/>
                <w:sz w:val="20"/>
                <w:szCs w:val="20"/>
                <w:u w:val="none"/>
                <w:lang w:val="en-US" w:eastAsia="zh-CN" w:bidi="ar"/>
              </w:rPr>
              <w:t>参数说明</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30E2B">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sz w:val="20"/>
                <w:szCs w:val="20"/>
                <w:u w:val="none"/>
              </w:rPr>
            </w:pPr>
            <w:r>
              <w:rPr>
                <w:rFonts w:hint="default" w:ascii="方正仿宋_GB2312" w:hAnsi="方正仿宋_GB2312" w:eastAsia="方正仿宋_GB2312" w:cs="方正仿宋_GB2312"/>
                <w:b/>
                <w:bCs/>
                <w:i w:val="0"/>
                <w:iCs w:val="0"/>
                <w:color w:val="000000"/>
                <w:kern w:val="0"/>
                <w:sz w:val="20"/>
                <w:szCs w:val="20"/>
                <w:u w:val="none"/>
                <w:lang w:val="en-US" w:eastAsia="zh-CN" w:bidi="ar"/>
              </w:rPr>
              <w:t>数量</w:t>
            </w:r>
            <w:r>
              <w:rPr>
                <w:rFonts w:hint="default" w:ascii="方正仿宋_GB2312" w:hAnsi="方正仿宋_GB2312" w:eastAsia="方正仿宋_GB2312" w:cs="方正仿宋_GB2312"/>
                <w:b/>
                <w:bCs/>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b/>
                <w:bCs/>
                <w:i w:val="0"/>
                <w:iCs w:val="0"/>
                <w:color w:val="000000"/>
                <w:kern w:val="0"/>
                <w:sz w:val="20"/>
                <w:szCs w:val="20"/>
                <w:u w:val="none"/>
                <w:lang w:val="en-US" w:eastAsia="zh-CN" w:bidi="ar"/>
              </w:rPr>
              <w:t>（套）</w:t>
            </w:r>
          </w:p>
        </w:tc>
      </w:tr>
      <w:tr w14:paraId="01B24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C2932">
            <w:pPr>
              <w:jc w:val="center"/>
              <w:rPr>
                <w:rFonts w:hint="default" w:ascii="方正仿宋_GB2312" w:hAnsi="方正仿宋_GB2312" w:eastAsia="方正仿宋_GB2312" w:cs="方正仿宋_GB2312"/>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CBA3">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sz w:val="20"/>
                <w:szCs w:val="20"/>
                <w:u w:val="none"/>
              </w:rPr>
            </w:pPr>
            <w:r>
              <w:rPr>
                <w:rFonts w:hint="default" w:ascii="方正仿宋_GB2312" w:hAnsi="方正仿宋_GB2312" w:eastAsia="方正仿宋_GB2312" w:cs="方正仿宋_GB2312"/>
                <w:b/>
                <w:bCs/>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E5F9">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color w:val="000000"/>
                <w:sz w:val="20"/>
                <w:szCs w:val="20"/>
                <w:u w:val="none"/>
              </w:rPr>
            </w:pPr>
            <w:r>
              <w:rPr>
                <w:rFonts w:hint="default" w:ascii="方正仿宋_GB2312" w:hAnsi="方正仿宋_GB2312" w:eastAsia="方正仿宋_GB2312" w:cs="方正仿宋_GB2312"/>
                <w:b/>
                <w:bCs/>
                <w:i w:val="0"/>
                <w:iCs w:val="0"/>
                <w:color w:val="000000"/>
                <w:kern w:val="0"/>
                <w:sz w:val="20"/>
                <w:szCs w:val="20"/>
                <w:u w:val="none"/>
                <w:lang w:val="en-US" w:eastAsia="zh-CN" w:bidi="ar"/>
              </w:rPr>
              <w:t>尺寸</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396F">
            <w:pPr>
              <w:jc w:val="center"/>
              <w:rPr>
                <w:rFonts w:hint="default" w:ascii="方正仿宋_GB2312" w:hAnsi="方正仿宋_GB2312" w:eastAsia="方正仿宋_GB2312" w:cs="方正仿宋_GB2312"/>
                <w:b/>
                <w:bCs/>
                <w:i w:val="0"/>
                <w:iCs w:val="0"/>
                <w:color w:val="000000"/>
                <w:sz w:val="20"/>
                <w:szCs w:val="20"/>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FAD3D">
            <w:pPr>
              <w:jc w:val="center"/>
              <w:rPr>
                <w:rFonts w:hint="default" w:ascii="方正仿宋_GB2312" w:hAnsi="方正仿宋_GB2312" w:eastAsia="方正仿宋_GB2312" w:cs="方正仿宋_GB2312"/>
                <w:b/>
                <w:bCs/>
                <w:i w:val="0"/>
                <w:iCs w:val="0"/>
                <w:color w:val="000000"/>
                <w:sz w:val="20"/>
                <w:szCs w:val="20"/>
                <w:u w:val="none"/>
              </w:rPr>
            </w:pPr>
          </w:p>
        </w:tc>
      </w:tr>
      <w:tr w14:paraId="17663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1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2FDF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二级引导智慧显示屏（3个组合）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EB87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铝基板</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7BD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3mm+背架+3级反光膜贴字（1600mm×780mm）</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三位停车场显示</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20F6">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制作工艺采用铝面板+背包箱体型式，牌面采用原色3mm铝板，贴3M超强级反光膜（三级反光膜）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142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r>
      <w:tr w14:paraId="4B13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4E6C6">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0A5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主杆</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712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76杆直径，按离地3米计算，总高4米</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2A39">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镀锌钢管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9C66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4</w:t>
            </w:r>
          </w:p>
        </w:tc>
      </w:tr>
      <w:tr w14:paraId="0789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45830">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51A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地笼</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AED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899F">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A7D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r>
      <w:tr w14:paraId="625FB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62B3A">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FD8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引导智慧显示屏背包</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B05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380mm*200mm*80mm</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(长*高*厚，根据安装实际有调整)</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98B3">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引导智慧显示屏采用冷轧钢钣金材料，喷户外粉工艺，激光切割焊接造型，具备正面IP65,侧背及背部IP55防护等级，具有防尘、防腐蚀、防霉变、防飞虫，防水、耐高温等方面的防护措施。配套安装抱箍支架，根据实际安装现场匹配；2、所有诱导车位屏模组显示规格为插灯P10双色，室外亮度</w:t>
            </w:r>
            <w:r>
              <w:rPr>
                <w:rStyle w:val="6"/>
                <w:lang w:val="en-US" w:eastAsia="zh-CN" w:bidi="ar"/>
              </w:rPr>
              <w:t>≧</w:t>
            </w:r>
            <w:r>
              <w:rPr>
                <w:rStyle w:val="7"/>
                <w:lang w:val="en-US" w:eastAsia="zh-CN" w:bidi="ar"/>
              </w:rPr>
              <w:t>6000cd/</w:t>
            </w:r>
            <w:r>
              <w:rPr>
                <w:rStyle w:val="6"/>
                <w:lang w:val="en-US" w:eastAsia="zh-CN" w:bidi="ar"/>
              </w:rPr>
              <w:t>㎡</w:t>
            </w:r>
            <w:r>
              <w:rPr>
                <w:rStyle w:val="7"/>
                <w:lang w:val="en-US" w:eastAsia="zh-CN" w:bidi="ar"/>
              </w:rPr>
              <w:t>，显示尺寸为320*160mm,显示像素点为32*16点，夜晚清晰远处可见；</w:t>
            </w:r>
            <w:r>
              <w:rPr>
                <w:rStyle w:val="7"/>
                <w:lang w:val="en-US" w:eastAsia="zh-CN" w:bidi="ar"/>
              </w:rPr>
              <w:br w:type="textWrapping"/>
            </w:r>
            <w:r>
              <w:rPr>
                <w:rStyle w:val="7"/>
                <w:lang w:val="en-US" w:eastAsia="zh-CN" w:bidi="ar"/>
              </w:rPr>
              <w:t>3、余位屏控制卡配卡通讯方式为4G通讯，可根据现场配置TCP/ip，支持多种二次开发</w:t>
            </w:r>
            <w:r>
              <w:rPr>
                <w:rStyle w:val="7"/>
                <w:lang w:val="en-US" w:eastAsia="zh-CN" w:bidi="ar"/>
              </w:rPr>
              <w:br w:type="textWrapping"/>
            </w:r>
            <w:r>
              <w:rPr>
                <w:rStyle w:val="7"/>
                <w:lang w:val="en-US" w:eastAsia="zh-CN" w:bidi="ar"/>
              </w:rPr>
              <w:t>4、输入电压:220V转5V</w:t>
            </w:r>
            <w:r>
              <w:rPr>
                <w:rStyle w:val="7"/>
                <w:lang w:val="en-US" w:eastAsia="zh-CN" w:bidi="ar"/>
              </w:rPr>
              <w:br w:type="textWrapping"/>
            </w:r>
            <w:r>
              <w:rPr>
                <w:rStyle w:val="7"/>
                <w:lang w:val="en-US" w:eastAsia="zh-CN" w:bidi="ar"/>
              </w:rPr>
              <w:t>5、工作温度:+60℃-20℃</w:t>
            </w:r>
            <w:r>
              <w:rPr>
                <w:rStyle w:val="7"/>
                <w:lang w:val="en-US" w:eastAsia="zh-CN" w:bidi="ar"/>
              </w:rPr>
              <w:br w:type="textWrapping"/>
            </w:r>
            <w:r>
              <w:rPr>
                <w:rStyle w:val="7"/>
                <w:lang w:val="en-US" w:eastAsia="zh-CN" w:bidi="ar"/>
              </w:rPr>
              <w:t>6、含两年数据流量费。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1E30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6</w:t>
            </w:r>
          </w:p>
        </w:tc>
      </w:tr>
      <w:tr w14:paraId="37166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9BB8">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596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基础</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6BF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(长*宽*深 400*400*600*2个),混凝土，预埋钢筋笼，包括防雷接地。</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E1E9">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06E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r>
      <w:tr w14:paraId="78060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42324">
            <w:pPr>
              <w:jc w:val="center"/>
              <w:rPr>
                <w:rFonts w:hint="default" w:ascii="方正仿宋_GB2312" w:hAnsi="方正仿宋_GB2312" w:eastAsia="方正仿宋_GB2312" w:cs="方正仿宋_GB2312"/>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54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2"/>
                <w:szCs w:val="22"/>
                <w:u w:val="none"/>
              </w:rPr>
            </w:pPr>
            <w:r>
              <w:rPr>
                <w:rFonts w:hint="default" w:ascii="方正仿宋_GB2312" w:hAnsi="方正仿宋_GB2312" w:eastAsia="方正仿宋_GB2312" w:cs="方正仿宋_GB2312"/>
                <w:i w:val="0"/>
                <w:iCs w:val="0"/>
                <w:color w:val="000000"/>
                <w:kern w:val="0"/>
                <w:sz w:val="22"/>
                <w:szCs w:val="22"/>
                <w:u w:val="none"/>
                <w:lang w:val="en-US" w:eastAsia="zh-CN" w:bidi="ar"/>
              </w:rPr>
              <w:t>取电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DC6A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包含切槽、埋管、恢复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CAF6">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D1E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350</w:t>
            </w:r>
          </w:p>
        </w:tc>
      </w:tr>
      <w:tr w14:paraId="2D14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1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2113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二级引导智慧显示屏（单个）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4B3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铝基板</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942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3mm+背架+3级反光膜贴字（1600mm×260mm）</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一位停车场显示</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5805">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制作工艺采用铝面板+背包箱体型式，牌面采用原色3mm铝板，贴3M超强级反光膜（三级反光膜）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AC5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2A9B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12185">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80B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主杆</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E88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76杆直径，按离地3米计算，总高4米</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36BD">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镀锌钢管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947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r>
      <w:tr w14:paraId="42B2D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E09A1">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E0E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地笼</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CF8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AFC2">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077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49323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B027A">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083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引导智慧显示屏背包</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378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380mm*200mm*80mm</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(长*高*厚，根据安装实际可调整)</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CA1B">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显示屏采用冷轧钢钣金材料，喷户外粉工艺，激光切割焊接造型，具备正面IP65,侧背及背部IP55防护等级，具有防尘、防腐蚀、防霉变、防飞虫，防水、耐高温等方面的防护措施。配套安装抱箍支架，根据实际安装现场匹配；2、所有诱导车位屏模组显示规格为插灯P10双色，室外亮度</w:t>
            </w:r>
            <w:r>
              <w:rPr>
                <w:rStyle w:val="6"/>
                <w:lang w:val="en-US" w:eastAsia="zh-CN" w:bidi="ar"/>
              </w:rPr>
              <w:t>≧</w:t>
            </w:r>
            <w:r>
              <w:rPr>
                <w:rStyle w:val="7"/>
                <w:lang w:val="en-US" w:eastAsia="zh-CN" w:bidi="ar"/>
              </w:rPr>
              <w:t>6000cd/</w:t>
            </w:r>
            <w:r>
              <w:rPr>
                <w:rStyle w:val="6"/>
                <w:lang w:val="en-US" w:eastAsia="zh-CN" w:bidi="ar"/>
              </w:rPr>
              <w:t>㎡</w:t>
            </w:r>
            <w:r>
              <w:rPr>
                <w:rStyle w:val="7"/>
                <w:lang w:val="en-US" w:eastAsia="zh-CN" w:bidi="ar"/>
              </w:rPr>
              <w:t>，显示尺寸为320*160mm,显示像素点为32*16点，夜晚清晰远处可见；</w:t>
            </w:r>
            <w:r>
              <w:rPr>
                <w:rStyle w:val="7"/>
                <w:lang w:val="en-US" w:eastAsia="zh-CN" w:bidi="ar"/>
              </w:rPr>
              <w:br w:type="textWrapping"/>
            </w:r>
            <w:r>
              <w:rPr>
                <w:rStyle w:val="7"/>
                <w:lang w:val="en-US" w:eastAsia="zh-CN" w:bidi="ar"/>
              </w:rPr>
              <w:t>3、余位屏控制卡配卡通讯方式为4G通讯，可根据现场配置TCP/ip，支持多种二次开发</w:t>
            </w:r>
            <w:r>
              <w:rPr>
                <w:rStyle w:val="7"/>
                <w:lang w:val="en-US" w:eastAsia="zh-CN" w:bidi="ar"/>
              </w:rPr>
              <w:br w:type="textWrapping"/>
            </w:r>
            <w:r>
              <w:rPr>
                <w:rStyle w:val="7"/>
                <w:lang w:val="en-US" w:eastAsia="zh-CN" w:bidi="ar"/>
              </w:rPr>
              <w:t>4、输入电压:220V转5V</w:t>
            </w:r>
            <w:r>
              <w:rPr>
                <w:rStyle w:val="7"/>
                <w:lang w:val="en-US" w:eastAsia="zh-CN" w:bidi="ar"/>
              </w:rPr>
              <w:br w:type="textWrapping"/>
            </w:r>
            <w:r>
              <w:rPr>
                <w:rStyle w:val="7"/>
                <w:lang w:val="en-US" w:eastAsia="zh-CN" w:bidi="ar"/>
              </w:rPr>
              <w:t>5、工作温度:+60℃-20℃</w:t>
            </w:r>
            <w:r>
              <w:rPr>
                <w:rStyle w:val="7"/>
                <w:lang w:val="en-US" w:eastAsia="zh-CN" w:bidi="ar"/>
              </w:rPr>
              <w:br w:type="textWrapping"/>
            </w:r>
            <w:r>
              <w:rPr>
                <w:rStyle w:val="7"/>
                <w:lang w:val="en-US" w:eastAsia="zh-CN" w:bidi="ar"/>
              </w:rPr>
              <w:t>6、含两年数据流量费。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595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w:t>
            </w:r>
          </w:p>
        </w:tc>
      </w:tr>
      <w:tr w14:paraId="332AF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4D3B9">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2E9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基础</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1A8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(长*宽*深 400*400*600*2个),混凝土，预埋钢筋笼，包括防雷接地。</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5006">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72D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1AE82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26549">
            <w:pPr>
              <w:jc w:val="center"/>
              <w:rPr>
                <w:rFonts w:hint="default" w:ascii="方正仿宋_GB2312" w:hAnsi="方正仿宋_GB2312" w:eastAsia="方正仿宋_GB2312" w:cs="方正仿宋_GB2312"/>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059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2"/>
                <w:szCs w:val="22"/>
                <w:u w:val="none"/>
              </w:rPr>
            </w:pPr>
            <w:r>
              <w:rPr>
                <w:rFonts w:hint="default" w:ascii="方正仿宋_GB2312" w:hAnsi="方正仿宋_GB2312" w:eastAsia="方正仿宋_GB2312" w:cs="方正仿宋_GB2312"/>
                <w:i w:val="0"/>
                <w:iCs w:val="0"/>
                <w:color w:val="000000"/>
                <w:kern w:val="0"/>
                <w:sz w:val="22"/>
                <w:szCs w:val="22"/>
                <w:u w:val="none"/>
                <w:lang w:val="en-US" w:eastAsia="zh-CN" w:bidi="ar"/>
              </w:rPr>
              <w:t>取电</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5BD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包含切槽、埋管、恢复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18AE">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091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100</w:t>
            </w:r>
          </w:p>
        </w:tc>
      </w:tr>
      <w:tr w14:paraId="0A1A9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jc w:val="center"/>
        </w:trPr>
        <w:tc>
          <w:tcPr>
            <w:tcW w:w="1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6F0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三级引导智慧显示屏</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（落地款）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84D2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防水箱</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B3E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2200mm*800mm*150mm(高*宽*厚)</w:t>
            </w:r>
          </w:p>
        </w:tc>
        <w:tc>
          <w:tcPr>
            <w:tcW w:w="3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AA1CB">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灯箱式三诱导屏落地式防水箱体型式，采用冷轧钢钣金材料，喷户外粉工艺，激光切割焊接造型，具备IP55防护等级，具有防尘、防腐蚀、防霉变、防飞虫，防水、耐高温等方面的防护措施。配套安装支架，根据实际安装现场匹配；同步做亚克力灯带镂空字，夜晚清晰可见；</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2、所有诱导车位屏模组显示规格为插灯P16双色，室外亮度7000cd/</w:t>
            </w:r>
            <w:r>
              <w:rPr>
                <w:rStyle w:val="6"/>
                <w:lang w:val="en-US" w:eastAsia="zh-CN" w:bidi="ar"/>
              </w:rPr>
              <w:t>㎡</w:t>
            </w:r>
            <w:r>
              <w:rPr>
                <w:rStyle w:val="7"/>
                <w:lang w:val="en-US" w:eastAsia="zh-CN" w:bidi="ar"/>
              </w:rPr>
              <w:t>，显示尺寸为512*256mm,显示像素点为32*16点，夜晚清晰远处可见；每个设备显示2个车场数据</w:t>
            </w:r>
            <w:r>
              <w:rPr>
                <w:rStyle w:val="7"/>
                <w:lang w:val="en-US" w:eastAsia="zh-CN" w:bidi="ar"/>
              </w:rPr>
              <w:br w:type="textWrapping"/>
            </w:r>
            <w:r>
              <w:rPr>
                <w:rStyle w:val="7"/>
                <w:lang w:val="en-US" w:eastAsia="zh-CN" w:bidi="ar"/>
              </w:rPr>
              <w:t>3、余位屏控制卡配卡通讯方式为4G通讯，可根据现场配置TCP/ip，支持多种二次开发</w:t>
            </w:r>
            <w:r>
              <w:rPr>
                <w:rStyle w:val="7"/>
                <w:lang w:val="en-US" w:eastAsia="zh-CN" w:bidi="ar"/>
              </w:rPr>
              <w:br w:type="textWrapping"/>
            </w:r>
            <w:r>
              <w:rPr>
                <w:rStyle w:val="7"/>
                <w:lang w:val="en-US" w:eastAsia="zh-CN" w:bidi="ar"/>
              </w:rPr>
              <w:t>4、输入电压:220V转5V</w:t>
            </w:r>
            <w:r>
              <w:rPr>
                <w:rStyle w:val="7"/>
                <w:lang w:val="en-US" w:eastAsia="zh-CN" w:bidi="ar"/>
              </w:rPr>
              <w:br w:type="textWrapping"/>
            </w:r>
            <w:r>
              <w:rPr>
                <w:rStyle w:val="7"/>
                <w:lang w:val="en-US" w:eastAsia="zh-CN" w:bidi="ar"/>
              </w:rPr>
              <w:t>5、工作温度:+60℃-20℃</w:t>
            </w:r>
            <w:r>
              <w:rPr>
                <w:rStyle w:val="7"/>
                <w:lang w:val="en-US" w:eastAsia="zh-CN" w:bidi="ar"/>
              </w:rPr>
              <w:br w:type="textWrapping"/>
            </w:r>
            <w:r>
              <w:rPr>
                <w:rStyle w:val="7"/>
                <w:lang w:val="en-US" w:eastAsia="zh-CN" w:bidi="ar"/>
              </w:rPr>
              <w:t>6、含两年数据流量费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C9F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04B6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8D131">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6F8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地笼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CB5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3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2A193">
            <w:pPr>
              <w:jc w:val="left"/>
              <w:rPr>
                <w:rFonts w:hint="default" w:ascii="方正仿宋_GB2312" w:hAnsi="方正仿宋_GB2312" w:eastAsia="方正仿宋_GB2312" w:cs="方正仿宋_GB2312"/>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2D6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4CFD4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B96FD">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ADA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引导智慧显示屏背包</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4B8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512mm*256mm单个位尺寸，（2位停车场显示）</w:t>
            </w:r>
          </w:p>
        </w:tc>
        <w:tc>
          <w:tcPr>
            <w:tcW w:w="3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8E8A3">
            <w:pPr>
              <w:jc w:val="left"/>
              <w:rPr>
                <w:rFonts w:hint="default" w:ascii="方正仿宋_GB2312" w:hAnsi="方正仿宋_GB2312" w:eastAsia="方正仿宋_GB2312" w:cs="方正仿宋_GB2312"/>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AED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7FAB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B638F">
            <w:pPr>
              <w:jc w:val="center"/>
              <w:rPr>
                <w:rFonts w:hint="default" w:ascii="方正仿宋_GB2312" w:hAnsi="方正仿宋_GB2312" w:eastAsia="方正仿宋_GB2312" w:cs="方正仿宋_GB2312"/>
                <w:i w:val="0"/>
                <w:iCs w:val="0"/>
                <w:color w:val="000000"/>
                <w:sz w:val="20"/>
                <w:szCs w:val="20"/>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742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基础</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5DD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(长*宽*深 800*800*600),混凝土，预埋钢筋笼，包括防雷接地。</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1605">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57E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3B1E1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43007">
            <w:pPr>
              <w:jc w:val="center"/>
              <w:rPr>
                <w:rFonts w:hint="default" w:ascii="方正仿宋_GB2312" w:hAnsi="方正仿宋_GB2312" w:eastAsia="方正仿宋_GB2312" w:cs="方正仿宋_GB2312"/>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F35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2"/>
                <w:szCs w:val="22"/>
                <w:u w:val="none"/>
              </w:rPr>
            </w:pPr>
            <w:r>
              <w:rPr>
                <w:rFonts w:hint="default" w:ascii="方正仿宋_GB2312" w:hAnsi="方正仿宋_GB2312" w:eastAsia="方正仿宋_GB2312" w:cs="方正仿宋_GB2312"/>
                <w:i w:val="0"/>
                <w:iCs w:val="0"/>
                <w:color w:val="000000"/>
                <w:kern w:val="0"/>
                <w:sz w:val="22"/>
                <w:szCs w:val="22"/>
                <w:u w:val="none"/>
                <w:lang w:val="en-US" w:eastAsia="zh-CN" w:bidi="ar"/>
              </w:rPr>
              <w:t>取电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3A8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包含切槽、埋管、恢复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F59C">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DB0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50</w:t>
            </w:r>
          </w:p>
        </w:tc>
      </w:tr>
      <w:tr w14:paraId="6D43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5BD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移植事务软件</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8E7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F181">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1.中转数据事务等事项；</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2.包含硬件i5-13420H 16G内存 512GB SSD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D0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73191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71A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剩余车位数据收发监控软件</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28E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D43A">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监控剩余车位平台数据及收发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3EF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5B7C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B4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广告发布软件</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B2E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EFC6">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广告发布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90B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53B96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350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调配置软件</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754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2EE2">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参数配置调试等功能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AA6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r>
      <w:tr w14:paraId="6D59A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791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剩余车位数据对接服务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2F2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根据不同品牌厂家进行二次对接开发</w:t>
            </w:r>
          </w:p>
        </w:tc>
        <w:tc>
          <w:tcPr>
            <w:tcW w:w="31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1C16">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石油停车场、医院停车场、临时停车场三套。实地勘探。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9D5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3</w:t>
            </w:r>
          </w:p>
        </w:tc>
      </w:tr>
    </w:tbl>
    <w:p w14:paraId="47840C49">
      <w:pPr>
        <w:pStyle w:val="5"/>
        <w:jc w:val="left"/>
        <w:outlineLvl w:val="1"/>
      </w:pPr>
      <w:r>
        <w:rPr>
          <w:rFonts w:hint="eastAsia" w:ascii="仿宋_GB2312" w:hAnsi="仿宋_GB2312" w:eastAsia="仿宋_GB2312" w:cs="仿宋_GB2312"/>
          <w:b/>
          <w:sz w:val="28"/>
          <w:lang w:val="en-US" w:eastAsia="zh-CN"/>
        </w:rPr>
        <w:t>三、商务</w:t>
      </w:r>
      <w:r>
        <w:rPr>
          <w:rFonts w:ascii="仿宋_GB2312" w:hAnsi="仿宋_GB2312" w:eastAsia="仿宋_GB2312" w:cs="仿宋_GB2312"/>
          <w:b/>
          <w:sz w:val="28"/>
        </w:rPr>
        <w:t>要求</w:t>
      </w:r>
    </w:p>
    <w:tbl>
      <w:tblPr>
        <w:tblStyle w:val="3"/>
        <w:tblW w:w="0" w:type="auto"/>
        <w:tblInd w:w="-257"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15"/>
        <w:gridCol w:w="1648"/>
        <w:gridCol w:w="6412"/>
      </w:tblGrid>
      <w:tr w14:paraId="6F8BE0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1" w:hRule="atLeast"/>
        </w:trPr>
        <w:tc>
          <w:tcPr>
            <w:tcW w:w="715" w:type="dxa"/>
            <w:vAlign w:val="center"/>
          </w:tcPr>
          <w:p w14:paraId="413A1135">
            <w:pPr>
              <w:pStyle w:val="5"/>
              <w:jc w:val="center"/>
            </w:pPr>
            <w:r>
              <w:rPr>
                <w:rFonts w:ascii="仿宋_GB2312" w:hAnsi="仿宋_GB2312" w:eastAsia="仿宋_GB2312" w:cs="仿宋_GB2312"/>
              </w:rPr>
              <w:t>序号</w:t>
            </w:r>
          </w:p>
        </w:tc>
        <w:tc>
          <w:tcPr>
            <w:tcW w:w="1648" w:type="dxa"/>
            <w:vAlign w:val="center"/>
          </w:tcPr>
          <w:p w14:paraId="46D059EA">
            <w:pPr>
              <w:pStyle w:val="5"/>
              <w:jc w:val="center"/>
            </w:pPr>
            <w:r>
              <w:rPr>
                <w:rFonts w:ascii="仿宋_GB2312" w:hAnsi="仿宋_GB2312" w:eastAsia="仿宋_GB2312" w:cs="仿宋_GB2312"/>
              </w:rPr>
              <w:t>商务要求名称</w:t>
            </w:r>
          </w:p>
        </w:tc>
        <w:tc>
          <w:tcPr>
            <w:tcW w:w="6412" w:type="dxa"/>
            <w:vAlign w:val="center"/>
          </w:tcPr>
          <w:p w14:paraId="66A6C382">
            <w:pPr>
              <w:pStyle w:val="5"/>
              <w:jc w:val="center"/>
            </w:pPr>
            <w:r>
              <w:rPr>
                <w:rFonts w:ascii="仿宋_GB2312" w:hAnsi="仿宋_GB2312" w:eastAsia="仿宋_GB2312" w:cs="仿宋_GB2312"/>
              </w:rPr>
              <w:t>商务要求内容</w:t>
            </w:r>
          </w:p>
        </w:tc>
      </w:tr>
      <w:tr w14:paraId="33FEBE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8" w:hRule="atLeast"/>
        </w:trPr>
        <w:tc>
          <w:tcPr>
            <w:tcW w:w="715" w:type="dxa"/>
            <w:vAlign w:val="center"/>
          </w:tcPr>
          <w:p w14:paraId="33B29E4D">
            <w:pPr>
              <w:pStyle w:val="5"/>
              <w:jc w:val="center"/>
            </w:pPr>
            <w:r>
              <w:rPr>
                <w:rFonts w:ascii="仿宋_GB2312" w:hAnsi="仿宋_GB2312" w:eastAsia="仿宋_GB2312" w:cs="仿宋_GB2312"/>
              </w:rPr>
              <w:t>1</w:t>
            </w:r>
          </w:p>
        </w:tc>
        <w:tc>
          <w:tcPr>
            <w:tcW w:w="1648" w:type="dxa"/>
            <w:vAlign w:val="center"/>
          </w:tcPr>
          <w:p w14:paraId="0AB1A1D0">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交货时间</w:t>
            </w:r>
          </w:p>
        </w:tc>
        <w:tc>
          <w:tcPr>
            <w:tcW w:w="6412" w:type="dxa"/>
            <w:vAlign w:val="center"/>
          </w:tcPr>
          <w:p w14:paraId="4F7DC740">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自合同签订之日起30日</w:t>
            </w:r>
          </w:p>
        </w:tc>
      </w:tr>
      <w:tr w14:paraId="3F4F8A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8" w:hRule="atLeast"/>
        </w:trPr>
        <w:tc>
          <w:tcPr>
            <w:tcW w:w="715" w:type="dxa"/>
            <w:vAlign w:val="center"/>
          </w:tcPr>
          <w:p w14:paraId="5670AB2A">
            <w:pPr>
              <w:pStyle w:val="5"/>
              <w:jc w:val="center"/>
            </w:pPr>
            <w:r>
              <w:rPr>
                <w:rFonts w:ascii="仿宋_GB2312" w:hAnsi="仿宋_GB2312" w:eastAsia="仿宋_GB2312" w:cs="仿宋_GB2312"/>
              </w:rPr>
              <w:t>2</w:t>
            </w:r>
          </w:p>
        </w:tc>
        <w:tc>
          <w:tcPr>
            <w:tcW w:w="1648" w:type="dxa"/>
            <w:vAlign w:val="center"/>
          </w:tcPr>
          <w:p w14:paraId="4D9416D3">
            <w:pPr>
              <w:pStyle w:val="5"/>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交货地点</w:t>
            </w:r>
          </w:p>
        </w:tc>
        <w:tc>
          <w:tcPr>
            <w:tcW w:w="6412" w:type="dxa"/>
            <w:vAlign w:val="center"/>
          </w:tcPr>
          <w:p w14:paraId="0744D19F">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采购人指定地点</w:t>
            </w:r>
          </w:p>
        </w:tc>
      </w:tr>
      <w:tr w14:paraId="4BCC45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41" w:hRule="atLeast"/>
        </w:trPr>
        <w:tc>
          <w:tcPr>
            <w:tcW w:w="715" w:type="dxa"/>
            <w:vAlign w:val="center"/>
          </w:tcPr>
          <w:p w14:paraId="38967B82">
            <w:pPr>
              <w:pStyle w:val="5"/>
              <w:jc w:val="center"/>
            </w:pPr>
            <w:r>
              <w:rPr>
                <w:rFonts w:ascii="仿宋_GB2312" w:hAnsi="仿宋_GB2312" w:eastAsia="仿宋_GB2312" w:cs="仿宋_GB2312"/>
              </w:rPr>
              <w:t>3</w:t>
            </w:r>
          </w:p>
        </w:tc>
        <w:tc>
          <w:tcPr>
            <w:tcW w:w="1648" w:type="dxa"/>
            <w:vAlign w:val="center"/>
          </w:tcPr>
          <w:p w14:paraId="08B63838">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验收、交付标准和方法</w:t>
            </w:r>
          </w:p>
        </w:tc>
        <w:tc>
          <w:tcPr>
            <w:tcW w:w="6412" w:type="dxa"/>
            <w:vAlign w:val="center"/>
          </w:tcPr>
          <w:p w14:paraId="34B47C6F">
            <w:pPr>
              <w:pStyle w:val="5"/>
              <w:numPr>
                <w:ilvl w:val="0"/>
                <w:numId w:val="1"/>
              </w:num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中标供应商在设备安装调试完成后通知采购人验收，采购人在接到通知后组织履约验收，验收合格，双方签署《质量验收报告》； </w:t>
            </w:r>
          </w:p>
          <w:p w14:paraId="531B15F1">
            <w:pPr>
              <w:pStyle w:val="5"/>
              <w:numPr>
                <w:ilvl w:val="0"/>
                <w:numId w:val="1"/>
              </w:numPr>
              <w:ind w:left="0" w:leftChars="0" w:firstLine="0" w:firstLine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验收标准：按国家有关规定以及招标文件的质量要求和技术指标、供应商的投标文件及承诺与本合同约定标准进行验收；采购人与供应商双方如对质量要求和技术指标的约定标准有相互抵触或异议的事项，由采购人在招标文件及投标文件中按质量要求和技术指标比较优胜的原则确定该项的约定标准进行验收；</w:t>
            </w:r>
          </w:p>
          <w:p w14:paraId="22FD5402">
            <w:pPr>
              <w:pStyle w:val="5"/>
              <w:numPr>
                <w:ilvl w:val="0"/>
                <w:numId w:val="1"/>
              </w:numPr>
              <w:ind w:left="0" w:leftChars="0" w:firstLine="0" w:firstLine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验收时如发现所交付的货物有短装、次品、损坏或其它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但最长不得超过7个日历天，不得影响采购人正常工作的开展；</w:t>
            </w:r>
          </w:p>
          <w:p w14:paraId="3BEE81A2">
            <w:pPr>
              <w:pStyle w:val="5"/>
              <w:numPr>
                <w:ilvl w:val="0"/>
                <w:numId w:val="1"/>
              </w:numPr>
              <w:ind w:left="0" w:leftChars="0" w:firstLine="0" w:firstLine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如质量验收合格，双方签署质量验收报告；</w:t>
            </w:r>
          </w:p>
          <w:p w14:paraId="4EDCBA4E">
            <w:pPr>
              <w:pStyle w:val="5"/>
              <w:numPr>
                <w:ilvl w:val="0"/>
                <w:numId w:val="0"/>
              </w:numPr>
              <w:ind w:left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5.供应商应将所提供货物的装箱清单、配件、随机工具、用户使用手册、原厂保修卡等资料交付给采购人；供应商不能完整交付货物及本款规定的单证和工具的，必须负责补齐，否则视为未按合同约定交货。</w:t>
            </w:r>
          </w:p>
        </w:tc>
      </w:tr>
      <w:tr w14:paraId="31B3DB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8" w:hRule="atLeast"/>
        </w:trPr>
        <w:tc>
          <w:tcPr>
            <w:tcW w:w="715" w:type="dxa"/>
            <w:vAlign w:val="center"/>
          </w:tcPr>
          <w:p w14:paraId="445AC7F3">
            <w:pPr>
              <w:pStyle w:val="5"/>
              <w:jc w:val="center"/>
            </w:pPr>
            <w:r>
              <w:rPr>
                <w:rFonts w:ascii="仿宋_GB2312" w:hAnsi="仿宋_GB2312" w:eastAsia="仿宋_GB2312" w:cs="仿宋_GB2312"/>
              </w:rPr>
              <w:t>4</w:t>
            </w:r>
          </w:p>
        </w:tc>
        <w:tc>
          <w:tcPr>
            <w:tcW w:w="1648" w:type="dxa"/>
            <w:vAlign w:val="center"/>
          </w:tcPr>
          <w:p w14:paraId="7A6849A8">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支付方式</w:t>
            </w:r>
          </w:p>
        </w:tc>
        <w:tc>
          <w:tcPr>
            <w:tcW w:w="6412" w:type="dxa"/>
            <w:vAlign w:val="center"/>
          </w:tcPr>
          <w:p w14:paraId="583CB4E9">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分期付款</w:t>
            </w:r>
          </w:p>
        </w:tc>
      </w:tr>
      <w:tr w14:paraId="1FABAD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955" w:hRule="atLeast"/>
        </w:trPr>
        <w:tc>
          <w:tcPr>
            <w:tcW w:w="715" w:type="dxa"/>
            <w:vAlign w:val="center"/>
          </w:tcPr>
          <w:p w14:paraId="5DDDD177">
            <w:pPr>
              <w:pStyle w:val="5"/>
              <w:jc w:val="center"/>
            </w:pPr>
            <w:r>
              <w:rPr>
                <w:rFonts w:ascii="仿宋_GB2312" w:hAnsi="仿宋_GB2312" w:eastAsia="仿宋_GB2312" w:cs="仿宋_GB2312"/>
              </w:rPr>
              <w:t>5</w:t>
            </w:r>
          </w:p>
        </w:tc>
        <w:tc>
          <w:tcPr>
            <w:tcW w:w="1648" w:type="dxa"/>
            <w:vAlign w:val="center"/>
          </w:tcPr>
          <w:p w14:paraId="2D0D8927">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付款进度安排</w:t>
            </w:r>
          </w:p>
        </w:tc>
        <w:tc>
          <w:tcPr>
            <w:tcW w:w="6412" w:type="dxa"/>
            <w:vAlign w:val="center"/>
          </w:tcPr>
          <w:p w14:paraId="179CF289">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1.付款条件说明：合同签订生效后，采购人收到中标供应商支付申请和合法有效完整的支付凭证资料后，达到付款条件起15日内，支付合同总金额的40.00%。</w:t>
            </w:r>
          </w:p>
          <w:p w14:paraId="641D48C0">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2.付款条件说明：验收合格后采购人收到成交供应商支付申请和合法有效完整的支付凭证资料后，达到付款条件起15日内，支付合同总金额的60.00%。</w:t>
            </w:r>
          </w:p>
        </w:tc>
      </w:tr>
      <w:tr w14:paraId="0DDB90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62" w:hRule="atLeast"/>
        </w:trPr>
        <w:tc>
          <w:tcPr>
            <w:tcW w:w="715" w:type="dxa"/>
            <w:vAlign w:val="center"/>
          </w:tcPr>
          <w:p w14:paraId="3E9C6CEE">
            <w:pPr>
              <w:pStyle w:val="5"/>
              <w:jc w:val="center"/>
            </w:pPr>
            <w:r>
              <w:rPr>
                <w:rFonts w:ascii="仿宋_GB2312" w:hAnsi="仿宋_GB2312" w:eastAsia="仿宋_GB2312" w:cs="仿宋_GB2312"/>
              </w:rPr>
              <w:t>6</w:t>
            </w:r>
          </w:p>
        </w:tc>
        <w:tc>
          <w:tcPr>
            <w:tcW w:w="1648" w:type="dxa"/>
            <w:vAlign w:val="center"/>
          </w:tcPr>
          <w:p w14:paraId="46FDD08E">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违约责任与解决争议的方法</w:t>
            </w:r>
          </w:p>
        </w:tc>
        <w:tc>
          <w:tcPr>
            <w:tcW w:w="6412" w:type="dxa"/>
            <w:vAlign w:val="center"/>
          </w:tcPr>
          <w:p w14:paraId="178651E2">
            <w:pPr>
              <w:pStyle w:val="5"/>
              <w:numPr>
                <w:ilvl w:val="0"/>
                <w:numId w:val="2"/>
              </w:num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供应商必须遵守采购合同并执行合同中的各项规定，保证采购合同的正常履行。</w:t>
            </w:r>
          </w:p>
          <w:p w14:paraId="74CF638E">
            <w:pPr>
              <w:pStyle w:val="5"/>
              <w:numPr>
                <w:ilvl w:val="0"/>
                <w:numId w:val="2"/>
              </w:numPr>
              <w:ind w:left="0" w:leftChars="0" w:firstLine="0" w:firstLine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14:paraId="2AA35647">
            <w:pPr>
              <w:pStyle w:val="5"/>
              <w:numPr>
                <w:ilvl w:val="0"/>
                <w:numId w:val="2"/>
              </w:numPr>
              <w:ind w:left="0" w:leftChars="0" w:firstLine="0" w:firstLine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供应商必须遵守采购合同按时完成合同相关工作，若由于供应商原因导致合同迟延履行，供应商应承担采购合同中约定的相关责任。</w:t>
            </w:r>
          </w:p>
          <w:p w14:paraId="03B0E37F">
            <w:pPr>
              <w:pStyle w:val="5"/>
              <w:numPr>
                <w:ilvl w:val="0"/>
                <w:numId w:val="0"/>
              </w:numPr>
              <w:ind w:leftChars="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tc>
      </w:tr>
      <w:tr w14:paraId="4E6878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84" w:hRule="atLeast"/>
        </w:trPr>
        <w:tc>
          <w:tcPr>
            <w:tcW w:w="715" w:type="dxa"/>
            <w:vAlign w:val="center"/>
          </w:tcPr>
          <w:p w14:paraId="6E48AD77">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w:t>
            </w:r>
          </w:p>
        </w:tc>
        <w:tc>
          <w:tcPr>
            <w:tcW w:w="1648" w:type="dxa"/>
            <w:vAlign w:val="center"/>
          </w:tcPr>
          <w:p w14:paraId="68132DD2">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包装方式及运输</w:t>
            </w:r>
          </w:p>
        </w:tc>
        <w:tc>
          <w:tcPr>
            <w:tcW w:w="6412" w:type="dxa"/>
            <w:vAlign w:val="center"/>
          </w:tcPr>
          <w:p w14:paraId="6C107662">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涉及的商品包装和快递包装，均应符合《商品包装政府采购需求标准（试行）》《快递包装政府采购需求标准（试行）》的要求，包装应适应于远距离运输、防潮、防震、防锈和防野蛮装卸，以确保货物安全无损运抵指定地点。</w:t>
            </w:r>
          </w:p>
        </w:tc>
      </w:tr>
      <w:tr w14:paraId="652566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1" w:hRule="atLeast"/>
        </w:trPr>
        <w:tc>
          <w:tcPr>
            <w:tcW w:w="715" w:type="dxa"/>
            <w:vAlign w:val="center"/>
          </w:tcPr>
          <w:p w14:paraId="4B6581FA">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w:t>
            </w:r>
          </w:p>
        </w:tc>
        <w:tc>
          <w:tcPr>
            <w:tcW w:w="1648" w:type="dxa"/>
            <w:vAlign w:val="center"/>
          </w:tcPr>
          <w:p w14:paraId="3F1EDECC">
            <w:pPr>
              <w:pStyle w:val="5"/>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质量保修范围和保修期</w:t>
            </w:r>
          </w:p>
        </w:tc>
        <w:tc>
          <w:tcPr>
            <w:tcW w:w="6412" w:type="dxa"/>
            <w:vAlign w:val="center"/>
          </w:tcPr>
          <w:p w14:paraId="3860E8E7">
            <w:pPr>
              <w:pStyle w:val="5"/>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所有货物及集成整体质保期24个月，起始时间从项目验收合格之日算起。质保期内，中标供应商应提供免费维修服务，如经三次维修任不能正常使用，应更换新设备。且维修期间应提供备用设备以保障采购人正常使用。质保期满后，应成本价提供设备维修服务。供应商需在接到采购人通知后24小时内响应，48小时内到达现场进行维修。</w:t>
            </w:r>
          </w:p>
        </w:tc>
      </w:tr>
    </w:tbl>
    <w:p w14:paraId="5233C34B">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7BF5E24C-F926-489F-81F9-08A4736B6363}"/>
  </w:font>
  <w:font w:name="仿宋_GB2312">
    <w:panose1 w:val="02010609030101010101"/>
    <w:charset w:val="86"/>
    <w:family w:val="auto"/>
    <w:pitch w:val="default"/>
    <w:sig w:usb0="00000001" w:usb1="080E0000" w:usb2="00000000" w:usb3="00000000" w:csb0="00040000" w:csb1="00000000"/>
    <w:embedRegular r:id="rId2" w:fontKey="{5080F155-064B-4C47-BC6A-2888A0860C59}"/>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80FC1"/>
    <w:multiLevelType w:val="singleLevel"/>
    <w:tmpl w:val="99F80FC1"/>
    <w:lvl w:ilvl="0" w:tentative="0">
      <w:start w:val="1"/>
      <w:numFmt w:val="decimal"/>
      <w:lvlText w:val="%1."/>
      <w:lvlJc w:val="left"/>
      <w:pPr>
        <w:tabs>
          <w:tab w:val="left" w:pos="312"/>
        </w:tabs>
      </w:pPr>
    </w:lvl>
  </w:abstractNum>
  <w:abstractNum w:abstractNumId="1">
    <w:nsid w:val="AC087DD6"/>
    <w:multiLevelType w:val="singleLevel"/>
    <w:tmpl w:val="AC087DD6"/>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1234C6"/>
    <w:rsid w:val="011234C6"/>
    <w:rsid w:val="02B671EB"/>
    <w:rsid w:val="106E78AA"/>
    <w:rsid w:val="149B7428"/>
    <w:rsid w:val="189B39EF"/>
    <w:rsid w:val="1D406F1E"/>
    <w:rsid w:val="1DF2137B"/>
    <w:rsid w:val="1F951C2D"/>
    <w:rsid w:val="21442F08"/>
    <w:rsid w:val="21554059"/>
    <w:rsid w:val="216C7CAC"/>
    <w:rsid w:val="22DF561F"/>
    <w:rsid w:val="27EF0F40"/>
    <w:rsid w:val="28C738BB"/>
    <w:rsid w:val="2B923A74"/>
    <w:rsid w:val="33154745"/>
    <w:rsid w:val="3CA32A46"/>
    <w:rsid w:val="46EC3C8E"/>
    <w:rsid w:val="52C758DD"/>
    <w:rsid w:val="537F3CCE"/>
    <w:rsid w:val="571129BE"/>
    <w:rsid w:val="667A1D8C"/>
    <w:rsid w:val="67FE9966"/>
    <w:rsid w:val="70DC69AB"/>
    <w:rsid w:val="75DC26D0"/>
    <w:rsid w:val="799D467D"/>
    <w:rsid w:val="7D5B5B31"/>
    <w:rsid w:val="7ED70C48"/>
    <w:rsid w:val="7FFD776E"/>
    <w:rsid w:val="D1EF562F"/>
    <w:rsid w:val="F7E7A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customStyle="1" w:styleId="5">
    <w:name w:val="null3"/>
    <w:qFormat/>
    <w:uiPriority w:val="0"/>
    <w:rPr>
      <w:rFonts w:hint="eastAsia" w:ascii="Calibri" w:hAnsi="Calibri" w:eastAsia="宋体" w:cs="Times New Roman"/>
      <w:lang w:val="en-US" w:eastAsia="zh-Hans"/>
    </w:rPr>
  </w:style>
  <w:style w:type="character" w:customStyle="1" w:styleId="6">
    <w:name w:val="font61"/>
    <w:basedOn w:val="4"/>
    <w:uiPriority w:val="0"/>
    <w:rPr>
      <w:rFonts w:hint="eastAsia" w:ascii="宋体" w:hAnsi="宋体" w:eastAsia="宋体" w:cs="宋体"/>
      <w:color w:val="000000"/>
      <w:sz w:val="20"/>
      <w:szCs w:val="20"/>
      <w:u w:val="none"/>
    </w:rPr>
  </w:style>
  <w:style w:type="character" w:customStyle="1" w:styleId="7">
    <w:name w:val="font41"/>
    <w:basedOn w:val="4"/>
    <w:uiPriority w:val="0"/>
    <w:rPr>
      <w:rFonts w:hint="default" w:ascii="方正仿宋_GB2312" w:hAnsi="方正仿宋_GB2312" w:eastAsia="方正仿宋_GB2312" w:cs="方正仿宋_GB2312"/>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615</Words>
  <Characters>636</Characters>
  <Lines>0</Lines>
  <Paragraphs>0</Paragraphs>
  <TotalTime>60</TotalTime>
  <ScaleCrop>false</ScaleCrop>
  <LinksUpToDate>false</LinksUpToDate>
  <CharactersWithSpaces>716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2025-04-02T17:01:00Z</dcterms:created>
  <dc:creator>Good</dc:creator>
  <cp:lastModifiedBy>violet</cp:lastModifiedBy>
  <dcterms:modified xsi:type="dcterms:W3CDTF">2026-01-26T08:30:14Z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E73E1DB1913F43188BF76C3CBC4E29EF_13</vt:lpwstr>
  </property>
  <property fmtid="{D5CDD505-2E9C-101B-9397-08002B2CF9AE}" pid="4" name="KSOTemplateDocerSaveRecord">
    <vt:lpwstr>eyJoZGlkIjoiNjk3YmRjOTFlOTkyZDIyMWQwNTU5NDZkNjJhMDA4NzciLCJ1c2VySWQiOiIyMTE1OTU1OTMifQ==</vt:lpwstr>
  </property>
</Properties>
</file>